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F6C1FE"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7E53C7" w:rsidDel="007E53C7">
          <w:rPr>
            <w:rPrChange w:id="100" w:author="Sok, Pia" w:date="2019-08-14T16:27:00Z">
              <w:rPr>
                <w:rStyle w:val="Hyperlink"/>
                <w:b w:val="0"/>
              </w:rPr>
            </w:rPrChange>
          </w:rPr>
          <w:delText>1.</w:delText>
        </w:r>
        <w:r w:rsidRPr="003607D6" w:rsidDel="007E53C7">
          <w:rPr>
            <w:rFonts w:ascii="Calibri" w:hAnsi="Calibri" w:cs="Times New Roman"/>
            <w:b w:val="0"/>
            <w:szCs w:val="22"/>
          </w:rPr>
          <w:tab/>
        </w:r>
        <w:r w:rsidRPr="007E53C7" w:rsidDel="007E53C7">
          <w:rPr>
            <w:rPrChange w:id="101" w:author="Sok, Pia" w:date="2019-08-14T16:27:00Z">
              <w:rPr>
                <w:rStyle w:val="Hyperlink"/>
                <w:b w:val="0"/>
              </w:rPr>
            </w:rPrChange>
          </w:rPr>
          <w:delText>Introduction</w:delText>
        </w:r>
        <w:r w:rsidDel="007E53C7">
          <w:rPr>
            <w:webHidden/>
          </w:rPr>
          <w:tab/>
          <w:delText>1</w:delText>
        </w:r>
      </w:del>
    </w:p>
    <w:p w14:paraId="5334C6E1" w14:textId="026A25B7" w:rsidR="00891CD8" w:rsidRPr="003607D6" w:rsidDel="007E53C7" w:rsidRDefault="00891CD8">
      <w:pPr>
        <w:pStyle w:val="TOC2"/>
        <w:rPr>
          <w:del w:id="102" w:author="Sok, Pia" w:date="2019-08-14T16:27:00Z"/>
          <w:rFonts w:ascii="Calibri" w:hAnsi="Calibri"/>
          <w:szCs w:val="22"/>
        </w:rPr>
      </w:pPr>
      <w:del w:id="103" w:author="Sok, Pia" w:date="2019-08-14T16:27:00Z">
        <w:r w:rsidRPr="007E53C7" w:rsidDel="007E53C7">
          <w:rPr>
            <w:rPrChange w:id="104" w:author="Sok, Pia" w:date="2019-08-14T16:27:00Z">
              <w:rPr>
                <w:rStyle w:val="Hyperlink"/>
              </w:rPr>
            </w:rPrChange>
          </w:rPr>
          <w:delText>1.1</w:delText>
        </w:r>
        <w:r w:rsidRPr="003607D6" w:rsidDel="007E53C7">
          <w:rPr>
            <w:rFonts w:ascii="Calibri" w:hAnsi="Calibri"/>
            <w:szCs w:val="22"/>
          </w:rPr>
          <w:tab/>
        </w:r>
        <w:r w:rsidRPr="007E53C7" w:rsidDel="007E53C7">
          <w:rPr>
            <w:rPrChange w:id="105" w:author="Sok, Pia" w:date="2019-08-14T16:27:00Z">
              <w:rPr>
                <w:rStyle w:val="Hyperlink"/>
              </w:rPr>
            </w:rPrChange>
          </w:rPr>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6" w:author="Sok, Pia" w:date="2019-08-14T16:27:00Z"/>
          <w:rFonts w:ascii="Calibri" w:hAnsi="Calibri"/>
          <w:szCs w:val="22"/>
        </w:rPr>
      </w:pPr>
      <w:del w:id="107" w:author="Sok, Pia" w:date="2019-08-14T16:27:00Z">
        <w:r w:rsidRPr="007E53C7" w:rsidDel="007E53C7">
          <w:rPr>
            <w:rPrChange w:id="108" w:author="Sok, Pia" w:date="2019-08-14T16:27:00Z">
              <w:rPr>
                <w:rStyle w:val="Hyperlink"/>
              </w:rPr>
            </w:rPrChange>
          </w:rPr>
          <w:delText>1.2</w:delText>
        </w:r>
        <w:r w:rsidRPr="003607D6" w:rsidDel="007E53C7">
          <w:rPr>
            <w:rFonts w:ascii="Calibri" w:hAnsi="Calibri"/>
            <w:szCs w:val="22"/>
          </w:rPr>
          <w:tab/>
        </w:r>
        <w:r w:rsidRPr="007E53C7" w:rsidDel="007E53C7">
          <w:rPr>
            <w:rPrChange w:id="109" w:author="Sok, Pia" w:date="2019-08-14T16:27:00Z">
              <w:rPr>
                <w:rStyle w:val="Hyperlink"/>
              </w:rPr>
            </w:rPrChange>
          </w:rPr>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10" w:author="Sok, Pia" w:date="2019-08-14T16:27:00Z"/>
          <w:rFonts w:ascii="Calibri" w:hAnsi="Calibri"/>
          <w:szCs w:val="22"/>
        </w:rPr>
      </w:pPr>
      <w:del w:id="111" w:author="Sok, Pia" w:date="2019-08-14T16:27:00Z">
        <w:r w:rsidRPr="007E53C7" w:rsidDel="007E53C7">
          <w:rPr>
            <w:rPrChange w:id="112" w:author="Sok, Pia" w:date="2019-08-14T16:27:00Z">
              <w:rPr>
                <w:rStyle w:val="Hyperlink"/>
              </w:rPr>
            </w:rPrChange>
          </w:rPr>
          <w:delText>1.3</w:delText>
        </w:r>
        <w:r w:rsidRPr="003607D6" w:rsidDel="007E53C7">
          <w:rPr>
            <w:rFonts w:ascii="Calibri" w:hAnsi="Calibri"/>
            <w:szCs w:val="22"/>
          </w:rPr>
          <w:tab/>
        </w:r>
        <w:r w:rsidRPr="007E53C7" w:rsidDel="007E53C7">
          <w:rPr>
            <w:rPrChange w:id="113" w:author="Sok, Pia" w:date="2019-08-14T16:27:00Z">
              <w:rPr>
                <w:rStyle w:val="Hyperlink"/>
              </w:rPr>
            </w:rPrChange>
          </w:rPr>
          <w:delText>References</w:delText>
        </w:r>
        <w:r w:rsidDel="007E53C7">
          <w:rPr>
            <w:webHidden/>
          </w:rPr>
          <w:tab/>
          <w:delText>2</w:delText>
        </w:r>
      </w:del>
    </w:p>
    <w:p w14:paraId="770D5A42" w14:textId="212D78D7" w:rsidR="00891CD8" w:rsidRPr="003607D6" w:rsidDel="007E53C7" w:rsidRDefault="00891CD8">
      <w:pPr>
        <w:pStyle w:val="TOC1"/>
        <w:rPr>
          <w:del w:id="114" w:author="Sok, Pia" w:date="2019-08-14T16:27:00Z"/>
          <w:rFonts w:ascii="Calibri" w:hAnsi="Calibri" w:cs="Times New Roman"/>
          <w:b w:val="0"/>
          <w:szCs w:val="22"/>
        </w:rPr>
      </w:pPr>
      <w:del w:id="115" w:author="Sok, Pia" w:date="2019-08-14T16:27:00Z">
        <w:r w:rsidRPr="007E53C7" w:rsidDel="007E53C7">
          <w:rPr>
            <w:rPrChange w:id="116" w:author="Sok, Pia" w:date="2019-08-14T16:27:00Z">
              <w:rPr>
                <w:rStyle w:val="Hyperlink"/>
                <w:b w:val="0"/>
              </w:rPr>
            </w:rPrChange>
          </w:rPr>
          <w:delText>2.</w:delText>
        </w:r>
        <w:r w:rsidRPr="003607D6" w:rsidDel="007E53C7">
          <w:rPr>
            <w:rFonts w:ascii="Calibri" w:hAnsi="Calibri" w:cs="Times New Roman"/>
            <w:b w:val="0"/>
            <w:szCs w:val="22"/>
          </w:rPr>
          <w:tab/>
        </w:r>
        <w:r w:rsidRPr="007E53C7" w:rsidDel="007E53C7">
          <w:rPr>
            <w:rPrChange w:id="117" w:author="Sok, Pia" w:date="2019-08-14T16:27:00Z">
              <w:rPr>
                <w:rStyle w:val="Hyperlink"/>
                <w:b w:val="0"/>
              </w:rPr>
            </w:rPrChange>
          </w:rPr>
          <w:delText>Proxy Demand Resources (PDR) and Reliability Demand Response Resources</w:delText>
        </w:r>
        <w:r w:rsidRPr="007E53C7" w:rsidDel="007E53C7">
          <w:rPr>
            <w:rPrChange w:id="118" w:author="Sok, Pia" w:date="2019-08-14T16:27:00Z">
              <w:rPr>
                <w:rStyle w:val="Hyperlink"/>
                <w:b w:val="0"/>
                <w:bCs/>
              </w:rPr>
            </w:rPrChange>
          </w:rPr>
          <w:delText xml:space="preserve"> (RDRR)</w:delText>
        </w:r>
        <w:r w:rsidRPr="007E53C7" w:rsidDel="007E53C7">
          <w:rPr>
            <w:rPrChange w:id="119" w:author="Sok, Pia" w:date="2019-08-14T16:27:00Z">
              <w:rPr>
                <w:rStyle w:val="Hyperlink"/>
                <w:b w:val="0"/>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rPr>
            </w:rPrChange>
          </w:rPr>
          <w:delText>2.1</w:delText>
        </w:r>
        <w:r w:rsidRPr="003607D6" w:rsidDel="007E53C7">
          <w:rPr>
            <w:rFonts w:ascii="Calibri" w:hAnsi="Calibri"/>
            <w:szCs w:val="22"/>
          </w:rPr>
          <w:tab/>
        </w:r>
        <w:r w:rsidRPr="007E53C7" w:rsidDel="007E53C7">
          <w:rPr>
            <w:rPrChange w:id="123"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2.2</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bCs/>
              </w:rPr>
            </w:rPrChange>
          </w:rPr>
          <w:delText>2.3</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2.4</w:delText>
        </w:r>
        <w:r w:rsidRPr="003607D6" w:rsidDel="007E53C7">
          <w:rPr>
            <w:rFonts w:ascii="Calibri" w:hAnsi="Calibri"/>
            <w:szCs w:val="22"/>
          </w:rPr>
          <w:tab/>
        </w:r>
        <w:r w:rsidRPr="007E53C7" w:rsidDel="007E53C7">
          <w:rPr>
            <w:rPrChange w:id="135"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36" w:author="Sok, Pia" w:date="2019-08-14T16:27:00Z"/>
          <w:rFonts w:ascii="Calibri" w:hAnsi="Calibri"/>
          <w:szCs w:val="22"/>
        </w:rPr>
      </w:pPr>
      <w:del w:id="137" w:author="Sok, Pia" w:date="2019-08-14T16:27:00Z">
        <w:r w:rsidRPr="007E53C7" w:rsidDel="007E53C7">
          <w:rPr>
            <w:rPrChange w:id="138" w:author="Sok, Pia" w:date="2019-08-14T16:27:00Z">
              <w:rPr>
                <w:rStyle w:val="Hyperlink"/>
              </w:rPr>
            </w:rPrChange>
          </w:rPr>
          <w:delText>2.5</w:delText>
        </w:r>
        <w:r w:rsidRPr="003607D6" w:rsidDel="007E53C7">
          <w:rPr>
            <w:rFonts w:ascii="Calibri" w:hAnsi="Calibri"/>
            <w:szCs w:val="22"/>
          </w:rPr>
          <w:tab/>
        </w:r>
        <w:r w:rsidRPr="007E53C7" w:rsidDel="007E53C7">
          <w:rPr>
            <w:rPrChange w:id="139"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2.6</w:delText>
        </w:r>
        <w:r w:rsidRPr="003607D6" w:rsidDel="007E53C7">
          <w:rPr>
            <w:rFonts w:ascii="Calibri" w:hAnsi="Calibri"/>
            <w:szCs w:val="22"/>
          </w:rPr>
          <w:tab/>
        </w:r>
        <w:r w:rsidRPr="007E53C7" w:rsidDel="007E53C7">
          <w:rPr>
            <w:rPrChange w:id="143"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b w:val="0"/>
              </w:rPr>
            </w:rPrChange>
          </w:rPr>
          <w:delText>3.</w:delText>
        </w:r>
        <w:r w:rsidRPr="003607D6" w:rsidDel="007E53C7">
          <w:rPr>
            <w:rFonts w:ascii="Calibri" w:hAnsi="Calibri" w:cs="Times New Roman"/>
            <w:b w:val="0"/>
            <w:szCs w:val="22"/>
          </w:rPr>
          <w:tab/>
        </w:r>
        <w:r w:rsidRPr="007E53C7" w:rsidDel="007E53C7">
          <w:rPr>
            <w:rPrChange w:id="147" w:author="Sok, Pia" w:date="2019-08-14T16:27:00Z">
              <w:rPr>
                <w:rStyle w:val="Hyperlink"/>
                <w:b w:val="0"/>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8" w:author="Sok, Pia" w:date="2019-08-14T16:27:00Z"/>
          <w:rFonts w:ascii="Calibri" w:hAnsi="Calibri"/>
          <w:szCs w:val="22"/>
        </w:rPr>
      </w:pPr>
      <w:del w:id="149" w:author="Sok, Pia" w:date="2019-08-14T16:27:00Z">
        <w:r w:rsidRPr="007E53C7" w:rsidDel="007E53C7">
          <w:rPr>
            <w:rPrChange w:id="150" w:author="Sok, Pia" w:date="2019-08-14T16:27:00Z">
              <w:rPr>
                <w:rStyle w:val="Hyperlink"/>
              </w:rPr>
            </w:rPrChange>
          </w:rPr>
          <w:delText>3.1</w:delText>
        </w:r>
        <w:r w:rsidRPr="003607D6" w:rsidDel="007E53C7">
          <w:rPr>
            <w:rFonts w:ascii="Calibri" w:hAnsi="Calibri"/>
            <w:szCs w:val="22"/>
          </w:rPr>
          <w:tab/>
        </w:r>
        <w:r w:rsidRPr="007E53C7" w:rsidDel="007E53C7">
          <w:rPr>
            <w:rPrChange w:id="151"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52" w:author="Sok, Pia" w:date="2019-08-14T16:27:00Z"/>
          <w:rFonts w:ascii="Calibri" w:hAnsi="Calibri" w:cs="Times New Roman"/>
          <w:b w:val="0"/>
          <w:szCs w:val="22"/>
        </w:rPr>
      </w:pPr>
      <w:del w:id="153" w:author="Sok, Pia" w:date="2019-08-14T16:27:00Z">
        <w:r w:rsidRPr="007E53C7" w:rsidDel="007E53C7">
          <w:rPr>
            <w:rPrChange w:id="154" w:author="Sok, Pia" w:date="2019-08-14T16:27:00Z">
              <w:rPr>
                <w:rStyle w:val="Hyperlink"/>
                <w:b w:val="0"/>
              </w:rPr>
            </w:rPrChange>
          </w:rPr>
          <w:delText>4.</w:delText>
        </w:r>
        <w:r w:rsidRPr="003607D6" w:rsidDel="007E53C7">
          <w:rPr>
            <w:rFonts w:ascii="Calibri" w:hAnsi="Calibri" w:cs="Times New Roman"/>
            <w:b w:val="0"/>
            <w:szCs w:val="22"/>
          </w:rPr>
          <w:tab/>
        </w:r>
        <w:r w:rsidRPr="007E53C7" w:rsidDel="007E53C7">
          <w:rPr>
            <w:rPrChange w:id="155" w:author="Sok, Pia" w:date="2019-08-14T16:27:00Z">
              <w:rPr>
                <w:rStyle w:val="Hyperlink"/>
                <w:b w:val="0"/>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56" w:author="Sok, Pia" w:date="2019-08-14T16:27:00Z"/>
          <w:rFonts w:ascii="Calibri" w:hAnsi="Calibri" w:cs="Times New Roman"/>
          <w:b w:val="0"/>
          <w:szCs w:val="22"/>
        </w:rPr>
      </w:pPr>
      <w:del w:id="157" w:author="Sok, Pia" w:date="2019-08-14T16:27:00Z">
        <w:r w:rsidRPr="007E53C7" w:rsidDel="007E53C7">
          <w:rPr>
            <w:rPrChange w:id="158" w:author="Sok, Pia" w:date="2019-08-14T16:27:00Z">
              <w:rPr>
                <w:rStyle w:val="Hyperlink"/>
                <w:b w:val="0"/>
              </w:rPr>
            </w:rPrChange>
          </w:rPr>
          <w:delText>5.</w:delText>
        </w:r>
        <w:r w:rsidRPr="003607D6" w:rsidDel="007E53C7">
          <w:rPr>
            <w:rFonts w:ascii="Calibri" w:hAnsi="Calibri" w:cs="Times New Roman"/>
            <w:b w:val="0"/>
            <w:szCs w:val="22"/>
          </w:rPr>
          <w:tab/>
        </w:r>
        <w:r w:rsidRPr="007E53C7" w:rsidDel="007E53C7">
          <w:rPr>
            <w:rPrChange w:id="159" w:author="Sok, Pia" w:date="2019-08-14T16:27:00Z">
              <w:rPr>
                <w:rStyle w:val="Hyperlink"/>
                <w:b w:val="0"/>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5.1</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rPr>
            </w:rPrChange>
          </w:rPr>
          <w:delText>5.2</w:delText>
        </w:r>
        <w:r w:rsidRPr="003607D6" w:rsidDel="007E53C7">
          <w:rPr>
            <w:rFonts w:ascii="Calibri" w:hAnsi="Calibri"/>
            <w:szCs w:val="22"/>
          </w:rPr>
          <w:tab/>
        </w:r>
        <w:r w:rsidRPr="007E53C7" w:rsidDel="007E53C7">
          <w:rPr>
            <w:rPrChange w:id="167"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5.3</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72" w:author="Sok, Pia" w:date="2019-08-14T16:27:00Z"/>
          <w:rFonts w:ascii="Calibri" w:hAnsi="Calibri"/>
          <w:szCs w:val="22"/>
        </w:rPr>
      </w:pPr>
      <w:del w:id="173" w:author="Sok, Pia" w:date="2019-08-14T16:27:00Z">
        <w:r w:rsidRPr="007E53C7" w:rsidDel="007E53C7">
          <w:rPr>
            <w:rPrChange w:id="174" w:author="Sok, Pia" w:date="2019-08-14T16:27:00Z">
              <w:rPr>
                <w:rStyle w:val="Hyperlink"/>
                <w:bCs/>
              </w:rPr>
            </w:rPrChange>
          </w:rPr>
          <w:delText>5.4</w:delText>
        </w:r>
        <w:r w:rsidRPr="003607D6" w:rsidDel="007E53C7">
          <w:rPr>
            <w:rFonts w:ascii="Calibri" w:hAnsi="Calibri"/>
            <w:szCs w:val="22"/>
          </w:rPr>
          <w:tab/>
        </w:r>
        <w:r w:rsidRPr="007E53C7" w:rsidDel="007E53C7">
          <w:rPr>
            <w:rPrChange w:id="175"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76" w:author="Sok, Pia" w:date="2019-08-14T16:27:00Z"/>
          <w:rFonts w:ascii="Calibri" w:hAnsi="Calibri"/>
          <w:szCs w:val="22"/>
        </w:rPr>
      </w:pPr>
      <w:del w:id="177" w:author="Sok, Pia" w:date="2019-08-14T16:27:00Z">
        <w:r w:rsidRPr="007E53C7" w:rsidDel="007E53C7">
          <w:rPr>
            <w:rPrChange w:id="178" w:author="Sok, Pia" w:date="2019-08-14T16:27:00Z">
              <w:rPr>
                <w:rStyle w:val="Hyperlink"/>
                <w:bCs/>
              </w:rPr>
            </w:rPrChange>
          </w:rPr>
          <w:delText>5.5</w:delText>
        </w:r>
        <w:r w:rsidRPr="003607D6" w:rsidDel="007E53C7">
          <w:rPr>
            <w:rFonts w:ascii="Calibri" w:hAnsi="Calibri"/>
            <w:szCs w:val="22"/>
          </w:rPr>
          <w:tab/>
        </w:r>
        <w:r w:rsidRPr="007E53C7" w:rsidDel="007E53C7">
          <w:rPr>
            <w:rPrChange w:id="179"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b w:val="0"/>
              </w:rPr>
            </w:rPrChange>
          </w:rPr>
          <w:delText>6.</w:delText>
        </w:r>
        <w:r w:rsidRPr="003607D6" w:rsidDel="007E53C7">
          <w:rPr>
            <w:rFonts w:ascii="Calibri" w:hAnsi="Calibri" w:cs="Times New Roman"/>
            <w:b w:val="0"/>
            <w:szCs w:val="22"/>
          </w:rPr>
          <w:tab/>
        </w:r>
        <w:r w:rsidRPr="007E53C7" w:rsidDel="007E53C7">
          <w:rPr>
            <w:rPrChange w:id="183" w:author="Sok, Pia" w:date="2019-08-14T16:27:00Z">
              <w:rPr>
                <w:rStyle w:val="Hyperlink"/>
                <w:b w:val="0"/>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b w:val="0"/>
              </w:rPr>
            </w:rPrChange>
          </w:rPr>
          <w:delText>7.</w:delText>
        </w:r>
        <w:r w:rsidRPr="003607D6" w:rsidDel="007E53C7">
          <w:rPr>
            <w:rFonts w:ascii="Calibri" w:hAnsi="Calibri" w:cs="Times New Roman"/>
            <w:b w:val="0"/>
            <w:szCs w:val="22"/>
          </w:rPr>
          <w:tab/>
        </w:r>
        <w:r w:rsidRPr="007E53C7" w:rsidDel="007E53C7">
          <w:rPr>
            <w:rPrChange w:id="187" w:author="Sok, Pia" w:date="2019-08-14T16:27:00Z">
              <w:rPr>
                <w:rStyle w:val="Hyperlink"/>
                <w:b w:val="0"/>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b w:val="0"/>
              </w:rPr>
            </w:rPrChange>
          </w:rPr>
          <w:delText>8.</w:delText>
        </w:r>
        <w:r w:rsidRPr="003607D6" w:rsidDel="007E53C7">
          <w:rPr>
            <w:rFonts w:ascii="Calibri" w:hAnsi="Calibri" w:cs="Times New Roman"/>
            <w:b w:val="0"/>
            <w:szCs w:val="22"/>
          </w:rPr>
          <w:tab/>
        </w:r>
        <w:r w:rsidRPr="007E53C7" w:rsidDel="007E53C7">
          <w:rPr>
            <w:rPrChange w:id="191" w:author="Sok, Pia" w:date="2019-08-14T16:27:00Z">
              <w:rPr>
                <w:rStyle w:val="Hyperlink"/>
                <w:b w:val="0"/>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b w:val="0"/>
              </w:rPr>
            </w:rPrChange>
          </w:rPr>
          <w:delText>9.</w:delText>
        </w:r>
        <w:r w:rsidRPr="003607D6" w:rsidDel="007E53C7">
          <w:rPr>
            <w:rFonts w:ascii="Calibri" w:hAnsi="Calibri" w:cs="Times New Roman"/>
            <w:b w:val="0"/>
            <w:szCs w:val="22"/>
          </w:rPr>
          <w:tab/>
        </w:r>
        <w:r w:rsidRPr="007E53C7" w:rsidDel="007E53C7">
          <w:rPr>
            <w:rPrChange w:id="195" w:author="Sok, Pia" w:date="2019-08-14T16:27:00Z">
              <w:rPr>
                <w:rStyle w:val="Hyperlink"/>
                <w:b w:val="0"/>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b w:val="0"/>
              </w:rPr>
            </w:rPrChange>
          </w:rPr>
          <w:delText>10.</w:delText>
        </w:r>
        <w:r w:rsidRPr="003607D6" w:rsidDel="007E53C7">
          <w:rPr>
            <w:rFonts w:ascii="Calibri" w:hAnsi="Calibri" w:cs="Times New Roman"/>
            <w:b w:val="0"/>
            <w:szCs w:val="22"/>
          </w:rPr>
          <w:tab/>
        </w:r>
        <w:r w:rsidRPr="007E53C7" w:rsidDel="007E53C7">
          <w:rPr>
            <w:rPrChange w:id="199" w:author="Sok, Pia" w:date="2019-08-14T16:27:00Z">
              <w:rPr>
                <w:rStyle w:val="Hyperlink"/>
                <w:b w:val="0"/>
              </w:rPr>
            </w:rPrChange>
          </w:rPr>
          <w:delText>Telemetry</w:delText>
        </w:r>
        <w:r w:rsidDel="007E53C7">
          <w:rPr>
            <w:webHidden/>
          </w:rPr>
          <w:tab/>
          <w:delText>37</w:delText>
        </w:r>
      </w:del>
    </w:p>
    <w:p w14:paraId="2D60271D" w14:textId="53E010EC"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b w:val="0"/>
              </w:rPr>
            </w:rPrChange>
          </w:rPr>
          <w:delText>11.</w:delText>
        </w:r>
        <w:r w:rsidRPr="003607D6" w:rsidDel="007E53C7">
          <w:rPr>
            <w:rFonts w:ascii="Calibri" w:hAnsi="Calibri" w:cs="Times New Roman"/>
            <w:b w:val="0"/>
            <w:szCs w:val="22"/>
          </w:rPr>
          <w:tab/>
        </w:r>
        <w:r w:rsidRPr="007E53C7" w:rsidDel="007E53C7">
          <w:rPr>
            <w:rPrChange w:id="203" w:author="Sok, Pia" w:date="2019-08-14T16:27:00Z">
              <w:rPr>
                <w:rStyle w:val="Hyperlink"/>
                <w:b w:val="0"/>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b w:val="0"/>
              </w:rPr>
            </w:rPrChange>
          </w:rPr>
          <w:delText>12.</w:delText>
        </w:r>
        <w:r w:rsidRPr="003607D6" w:rsidDel="007E53C7">
          <w:rPr>
            <w:rFonts w:ascii="Calibri" w:hAnsi="Calibri" w:cs="Times New Roman"/>
            <w:b w:val="0"/>
            <w:szCs w:val="22"/>
          </w:rPr>
          <w:tab/>
        </w:r>
        <w:r w:rsidRPr="007E53C7" w:rsidDel="007E53C7">
          <w:rPr>
            <w:rPrChange w:id="207" w:author="Sok, Pia" w:date="2019-08-14T16:27:00Z">
              <w:rPr>
                <w:rStyle w:val="Hyperlink"/>
                <w:b w:val="0"/>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b w:val="0"/>
              </w:rPr>
            </w:rPrChange>
          </w:rPr>
          <w:delText>13.</w:delText>
        </w:r>
        <w:r w:rsidRPr="003607D6" w:rsidDel="007E53C7">
          <w:rPr>
            <w:rFonts w:ascii="Calibri" w:hAnsi="Calibri" w:cs="Times New Roman"/>
            <w:b w:val="0"/>
            <w:szCs w:val="22"/>
          </w:rPr>
          <w:tab/>
        </w:r>
        <w:r w:rsidRPr="007E53C7" w:rsidDel="007E53C7">
          <w:rPr>
            <w:rPrChange w:id="211" w:author="Sok, Pia" w:date="2019-08-14T16:27:00Z">
              <w:rPr>
                <w:rStyle w:val="Hyperlink"/>
                <w:b w:val="0"/>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b w:val="0"/>
              </w:rPr>
            </w:rPrChange>
          </w:rPr>
          <w:delText>14.</w:delText>
        </w:r>
        <w:r w:rsidRPr="003607D6" w:rsidDel="007E53C7">
          <w:rPr>
            <w:rFonts w:ascii="Calibri" w:hAnsi="Calibri" w:cs="Times New Roman"/>
            <w:b w:val="0"/>
            <w:szCs w:val="22"/>
          </w:rPr>
          <w:tab/>
        </w:r>
        <w:r w:rsidRPr="007E53C7" w:rsidDel="007E53C7">
          <w:rPr>
            <w:rPrChange w:id="215" w:author="Sok, Pia" w:date="2019-08-14T16:27:00Z">
              <w:rPr>
                <w:rStyle w:val="Hyperlink"/>
                <w:b w:val="0"/>
              </w:rPr>
            </w:rPrChange>
          </w:rPr>
          <w:delText>Outages</w:delText>
        </w:r>
        <w:r w:rsidDel="007E53C7">
          <w:rPr>
            <w:webHidden/>
          </w:rPr>
          <w:tab/>
          <w:delText>39</w:delText>
        </w:r>
      </w:del>
    </w:p>
    <w:p w14:paraId="365E2AD8" w14:textId="4A78B4AC" w:rsidR="00891CD8" w:rsidRPr="003607D6" w:rsidDel="007E53C7" w:rsidRDefault="00891CD8">
      <w:pPr>
        <w:pStyle w:val="TOC1"/>
        <w:rPr>
          <w:del w:id="216" w:author="Sok, Pia" w:date="2019-08-14T16:27:00Z"/>
          <w:rFonts w:ascii="Calibri" w:hAnsi="Calibri" w:cs="Times New Roman"/>
          <w:b w:val="0"/>
          <w:szCs w:val="22"/>
        </w:rPr>
      </w:pPr>
      <w:del w:id="217" w:author="Sok, Pia" w:date="2019-08-14T16:27:00Z">
        <w:r w:rsidRPr="007E53C7" w:rsidDel="007E53C7">
          <w:rPr>
            <w:rPrChange w:id="218" w:author="Sok, Pia" w:date="2019-08-14T16:27:00Z">
              <w:rPr>
                <w:rStyle w:val="Hyperlink"/>
                <w:b w:val="0"/>
              </w:rPr>
            </w:rPrChange>
          </w:rPr>
          <w:delText>15.</w:delText>
        </w:r>
        <w:r w:rsidRPr="003607D6" w:rsidDel="007E53C7">
          <w:rPr>
            <w:rFonts w:ascii="Calibri" w:hAnsi="Calibri" w:cs="Times New Roman"/>
            <w:b w:val="0"/>
            <w:szCs w:val="22"/>
          </w:rPr>
          <w:tab/>
        </w:r>
        <w:r w:rsidRPr="007E53C7" w:rsidDel="007E53C7">
          <w:rPr>
            <w:rPrChange w:id="219" w:author="Sok, Pia" w:date="2019-08-14T16:27:00Z">
              <w:rPr>
                <w:rStyle w:val="Hyperlink"/>
                <w:b w:val="0"/>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20" w:author="Sok, Pia" w:date="2019-08-14T16:27:00Z"/>
          <w:rFonts w:ascii="Calibri" w:hAnsi="Calibri" w:cs="Times New Roman"/>
          <w:b w:val="0"/>
          <w:szCs w:val="22"/>
        </w:rPr>
      </w:pPr>
      <w:del w:id="221" w:author="Sok, Pia" w:date="2019-08-14T16:27:00Z">
        <w:r w:rsidRPr="007E53C7" w:rsidDel="007E53C7">
          <w:rPr>
            <w:rPrChange w:id="222" w:author="Sok, Pia" w:date="2019-08-14T16:27:00Z">
              <w:rPr>
                <w:rStyle w:val="Hyperlink"/>
                <w:b w:val="0"/>
              </w:rPr>
            </w:rPrChange>
          </w:rPr>
          <w:delText>Appendix A:  Definitions</w:delText>
        </w:r>
        <w:r w:rsidDel="007E53C7">
          <w:rPr>
            <w:webHidden/>
          </w:rPr>
          <w:tab/>
          <w:delText>40</w:delText>
        </w:r>
      </w:del>
    </w:p>
    <w:p w14:paraId="3BF7D82C" w14:textId="77EA0EF5" w:rsidR="00891CD8" w:rsidRPr="003607D6" w:rsidDel="007E53C7" w:rsidRDefault="00891CD8">
      <w:pPr>
        <w:pStyle w:val="TOC1"/>
        <w:rPr>
          <w:del w:id="223" w:author="Sok, Pia" w:date="2019-08-14T16:27:00Z"/>
          <w:rFonts w:ascii="Calibri" w:hAnsi="Calibri" w:cs="Times New Roman"/>
          <w:b w:val="0"/>
          <w:szCs w:val="22"/>
        </w:rPr>
      </w:pPr>
      <w:del w:id="224" w:author="Sok, Pia" w:date="2019-08-14T16:27:00Z">
        <w:r w:rsidRPr="007E53C7" w:rsidDel="007E53C7">
          <w:rPr>
            <w:rPrChange w:id="225" w:author="Sok, Pia" w:date="2019-08-14T16:27:00Z">
              <w:rPr>
                <w:rStyle w:val="Hyperlink"/>
                <w:b w:val="0"/>
              </w:rPr>
            </w:rPrChange>
          </w:rPr>
          <w:delText xml:space="preserve">Appendix B:  </w:delText>
        </w:r>
        <w:r w:rsidRPr="007E53C7" w:rsidDel="007E53C7">
          <w:rPr>
            <w:rPrChange w:id="226" w:author="Sok, Pia" w:date="2019-08-14T16:27:00Z">
              <w:rPr>
                <w:rStyle w:val="Hyperlink"/>
                <w:b w:val="0"/>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19"/>
          <w:footerReference w:type="default" r:id="rId20"/>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27" w:name="_Toc112039791"/>
      <w:bookmarkStart w:id="228" w:name="_Toc196209117"/>
      <w:bookmarkStart w:id="229" w:name="_Toc283808014"/>
      <w:bookmarkStart w:id="230" w:name="_Toc17375860"/>
      <w:r w:rsidRPr="00DD04FE">
        <w:rPr>
          <w:rFonts w:cs="Arial"/>
        </w:rPr>
        <w:t>Introduction</w:t>
      </w:r>
      <w:bookmarkEnd w:id="227"/>
      <w:bookmarkEnd w:id="228"/>
      <w:bookmarkEnd w:id="229"/>
      <w:bookmarkEnd w:id="230"/>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31" w:name="_Toc196209118"/>
      <w:bookmarkStart w:id="232" w:name="_Toc283808015"/>
      <w:bookmarkStart w:id="233" w:name="_Toc17375861"/>
      <w:r w:rsidRPr="00DD04FE">
        <w:t xml:space="preserve">Purpose of </w:t>
      </w:r>
      <w:r w:rsidR="005F5DDD">
        <w:t>ISO</w:t>
      </w:r>
      <w:r w:rsidRPr="00DD04FE">
        <w:t xml:space="preserve"> Business Practice Manuals</w:t>
      </w:r>
      <w:bookmarkEnd w:id="231"/>
      <w:bookmarkEnd w:id="232"/>
      <w:bookmarkEnd w:id="233"/>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1"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34" w:name="_Toc112039793"/>
      <w:bookmarkStart w:id="235" w:name="_Toc130962800"/>
      <w:bookmarkStart w:id="236" w:name="_Toc196209119"/>
      <w:bookmarkStart w:id="237" w:name="_Toc283808016"/>
      <w:bookmarkStart w:id="238" w:name="_Toc17375862"/>
      <w:r w:rsidRPr="00DD04FE">
        <w:t>Purpose of this Business Practice Manual</w:t>
      </w:r>
      <w:bookmarkEnd w:id="234"/>
      <w:bookmarkEnd w:id="235"/>
      <w:bookmarkEnd w:id="236"/>
      <w:bookmarkEnd w:id="237"/>
      <w:bookmarkEnd w:id="238"/>
    </w:p>
    <w:p w14:paraId="413E5060" w14:textId="77777777" w:rsidR="009C2B13" w:rsidRPr="00EC233E" w:rsidRDefault="008A5188" w:rsidP="00EC233E">
      <w:pPr>
        <w:pStyle w:val="ParaText"/>
        <w:rPr>
          <w:rFonts w:cs="Arial"/>
          <w:iCs/>
        </w:rPr>
      </w:pPr>
      <w:bookmarkStart w:id="239" w:name="_Toc112039794"/>
      <w:bookmarkStart w:id="240"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41" w:name="_Toc196209120"/>
      <w:bookmarkStart w:id="242" w:name="_Toc283808017"/>
      <w:bookmarkStart w:id="243" w:name="_Toc17375863"/>
      <w:r w:rsidRPr="00DD04FE">
        <w:t>References</w:t>
      </w:r>
      <w:bookmarkEnd w:id="239"/>
      <w:bookmarkEnd w:id="240"/>
      <w:bookmarkEnd w:id="241"/>
      <w:bookmarkEnd w:id="242"/>
      <w:bookmarkEnd w:id="243"/>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2"/>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44" w:name="_Toc491332175"/>
      <w:bookmarkStart w:id="245" w:name="_Toc17375864"/>
      <w:r w:rsidRPr="004B74BD">
        <w:rPr>
          <w:rFonts w:cs="Arial"/>
        </w:rPr>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44"/>
      <w:r w:rsidRPr="004B74BD">
        <w:rPr>
          <w:rFonts w:cs="Arial"/>
        </w:rPr>
        <w:t xml:space="preserve"> </w:t>
      </w:r>
      <w:r w:rsidR="003810A0">
        <w:rPr>
          <w:rFonts w:cs="Arial"/>
        </w:rPr>
        <w:t>Demand Response Participation Models</w:t>
      </w:r>
      <w:bookmarkEnd w:id="245"/>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46" w:name="_Toc17375865"/>
      <w:r>
        <w:t>Product Overview</w:t>
      </w:r>
      <w:bookmarkEnd w:id="246"/>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47"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8"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9" w:author="Sok, Pia" w:date="2019-08-19T16:30:00Z"/>
          <w:rFonts w:cs="Arial"/>
          <w:szCs w:val="24"/>
        </w:rPr>
      </w:pPr>
      <w:ins w:id="250"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51" w:author="Sok, Pia" w:date="2019-08-19T16:30:00Z"/>
          <w:rFonts w:cs="Arial"/>
        </w:rPr>
      </w:pPr>
      <w:ins w:id="252"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53" w:author="Sok, Pia" w:date="2019-08-19T16:30:00Z"/>
          <w:rFonts w:cs="Arial"/>
        </w:rPr>
      </w:pPr>
    </w:p>
    <w:p w14:paraId="7B392D45" w14:textId="037754DF" w:rsidR="00050F14" w:rsidRPr="00483FF9" w:rsidDel="00050F14" w:rsidRDefault="00050F14" w:rsidP="00C501E4">
      <w:pPr>
        <w:rPr>
          <w:del w:id="254" w:author="Sok, Pia" w:date="2019-08-19T16:31:00Z"/>
          <w:rFonts w:cs="Arial"/>
        </w:rPr>
      </w:pPr>
    </w:p>
    <w:p w14:paraId="3759D4D9" w14:textId="07D8FA11" w:rsidR="00C501E4" w:rsidRDefault="00C501E4" w:rsidP="0028415A">
      <w:pPr>
        <w:spacing w:after="240"/>
        <w:rPr>
          <w:rFonts w:cs="Arial"/>
        </w:rPr>
      </w:pPr>
      <w:commentRangeStart w:id="255"/>
      <w:commentRangeStart w:id="256"/>
      <w:del w:id="257" w:author="Sok, Pia" w:date="2019-08-19T16:31:00Z">
        <w:r w:rsidRPr="00483FF9" w:rsidDel="00050F14">
          <w:rPr>
            <w:rFonts w:cs="Arial"/>
            <w:b/>
            <w:i/>
          </w:rPr>
          <w:delText xml:space="preserve">PDR </w:delText>
        </w:r>
        <w:commentRangeEnd w:id="255"/>
        <w:r w:rsidR="00AD605A" w:rsidDel="00050F14">
          <w:rPr>
            <w:rStyle w:val="CommentReference"/>
          </w:rPr>
          <w:commentReference w:id="255"/>
        </w:r>
        <w:r w:rsidRPr="00483FF9" w:rsidDel="00050F14">
          <w:rPr>
            <w:rFonts w:cs="Arial"/>
          </w:rPr>
          <w:delText xml:space="preserve">bids </w:delText>
        </w:r>
        <w:commentRangeEnd w:id="256"/>
        <w:r w:rsidR="00600982" w:rsidDel="00050F14">
          <w:rPr>
            <w:rStyle w:val="CommentReference"/>
          </w:rPr>
          <w:commentReference w:id="256"/>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8"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9" w:name="_Ref14696807"/>
        <w:r w:rsidR="00387CDD" w:rsidDel="00600982">
          <w:rPr>
            <w:rStyle w:val="FootnoteReference"/>
            <w:rFonts w:cs="Arial"/>
            <w:szCs w:val="24"/>
          </w:rPr>
          <w:footnoteReference w:id="1"/>
        </w:r>
        <w:bookmarkEnd w:id="259"/>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63" w:author="Sok, Pia" w:date="2019-08-15T14:21:00Z"/>
        </w:rPr>
      </w:pPr>
      <w:del w:id="264"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65" w:author="Sok, Pia" w:date="2019-08-15T14:21:00Z"/>
          <w:rFonts w:cs="Arial"/>
          <w:b/>
          <w:i/>
        </w:rPr>
      </w:pPr>
      <w:del w:id="266"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67"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8" w:author="Gilbert, Anja" w:date="2019-08-13T08:39:00Z">
        <w:r w:rsidR="00736460">
          <w:rPr>
            <w:rFonts w:cs="Arial"/>
          </w:rPr>
          <w:t>-</w:t>
        </w:r>
      </w:ins>
      <w:del w:id="269"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70" w:author="Gilbert, Anja" w:date="2019-08-13T08:35:00Z">
        <w:r w:rsidR="00736460">
          <w:rPr>
            <w:rFonts w:cs="Arial"/>
          </w:rPr>
          <w:t xml:space="preserve">The </w:t>
        </w:r>
      </w:ins>
      <w:r w:rsidR="00431408">
        <w:rPr>
          <w:rFonts w:cs="Arial"/>
        </w:rPr>
        <w:t>RDRR bid option is set at 5 minute</w:t>
      </w:r>
      <w:del w:id="271" w:author="Gilbert, Anja" w:date="2019-08-13T08:35:00Z">
        <w:r w:rsidR="00431408" w:rsidDel="00736460">
          <w:rPr>
            <w:rFonts w:cs="Arial"/>
          </w:rPr>
          <w:delText>,</w:delText>
        </w:r>
      </w:del>
      <w:r w:rsidR="00431408">
        <w:rPr>
          <w:rFonts w:cs="Arial"/>
        </w:rPr>
        <w:t xml:space="preserve"> and </w:t>
      </w:r>
      <w:ins w:id="272" w:author="Gilbert, Anja" w:date="2019-08-13T08:35:00Z">
        <w:r w:rsidR="00736460">
          <w:rPr>
            <w:rFonts w:cs="Arial"/>
          </w:rPr>
          <w:t>R</w:t>
        </w:r>
      </w:ins>
      <w:ins w:id="273"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74"/>
      <w:commentRangeStart w:id="275"/>
      <w:r w:rsidR="00562961">
        <w:rPr>
          <w:rFonts w:cs="Arial"/>
        </w:rPr>
        <w:t>RDRR participation is limited to CPUC</w:t>
      </w:r>
      <w:ins w:id="276" w:author="Gilbert, Anja" w:date="2019-08-13T08:40:00Z">
        <w:r w:rsidR="00736460">
          <w:rPr>
            <w:rFonts w:cs="Arial"/>
          </w:rPr>
          <w:t>-</w:t>
        </w:r>
      </w:ins>
      <w:del w:id="277"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74"/>
      <w:r w:rsidR="0032298B">
        <w:rPr>
          <w:rStyle w:val="CommentReference"/>
        </w:rPr>
        <w:commentReference w:id="274"/>
      </w:r>
      <w:commentRangeEnd w:id="275"/>
      <w:r w:rsidR="00C74BF6">
        <w:rPr>
          <w:rStyle w:val="CommentReference"/>
        </w:rPr>
        <w:commentReference w:id="275"/>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8"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9" w:author="Hernandez, John" w:date="2019-08-07T08:51:00Z">
        <w:r w:rsidR="001C70E4">
          <w:rPr>
            <w:rFonts w:cs="Arial"/>
            <w:color w:val="000000"/>
          </w:rPr>
          <w:t xml:space="preserve">, </w:t>
        </w:r>
      </w:ins>
      <w:ins w:id="280"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743BBC34"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81"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82" w:author="Gilbert, Anja" w:date="2019-08-13T08:41:00Z">
        <w:r w:rsidRPr="00856536" w:rsidDel="00736460">
          <w:rPr>
            <w:rFonts w:cs="Arial"/>
            <w:szCs w:val="24"/>
          </w:rPr>
          <w:delText>D</w:delText>
        </w:r>
      </w:del>
      <w:ins w:id="283" w:author="Gilbert, Anja" w:date="2019-08-13T08:41:00Z">
        <w:r w:rsidR="00736460">
          <w:rPr>
            <w:rFonts w:cs="Arial"/>
            <w:szCs w:val="24"/>
          </w:rPr>
          <w:t>d</w:t>
        </w:r>
      </w:ins>
      <w:r w:rsidRPr="00856536">
        <w:rPr>
          <w:rFonts w:cs="Arial"/>
          <w:szCs w:val="24"/>
        </w:rPr>
        <w:t xml:space="preserve">ispatch, and </w:t>
      </w:r>
      <w:del w:id="284" w:author="Gilbert, Anja" w:date="2019-08-13T08:41:00Z">
        <w:r w:rsidRPr="00856536" w:rsidDel="00736460">
          <w:rPr>
            <w:rFonts w:cs="Arial"/>
            <w:szCs w:val="24"/>
          </w:rPr>
          <w:delText>S</w:delText>
        </w:r>
      </w:del>
      <w:ins w:id="285" w:author="Gilbert, Anja" w:date="2019-08-13T08:41:00Z">
        <w:r w:rsidR="00736460">
          <w:rPr>
            <w:rFonts w:cs="Arial"/>
            <w:szCs w:val="24"/>
          </w:rPr>
          <w:t>s</w:t>
        </w:r>
      </w:ins>
      <w:r w:rsidRPr="00856536">
        <w:rPr>
          <w:rFonts w:cs="Arial"/>
          <w:szCs w:val="24"/>
        </w:rPr>
        <w:t xml:space="preserve">ettlement of the PDR or RDRR will be as a proxy generator resource </w:t>
      </w:r>
      <w:del w:id="286" w:author="Sok, Pia" w:date="2019-08-15T14:24:00Z">
        <w:r w:rsidRPr="00856536" w:rsidDel="0045655C">
          <w:rPr>
            <w:rFonts w:cs="Arial"/>
            <w:szCs w:val="24"/>
          </w:rPr>
          <w:delText>on the</w:delText>
        </w:r>
      </w:del>
      <w:ins w:id="287" w:author="Sok, Pia" w:date="2019-08-15T14:24:00Z">
        <w:r w:rsidR="0045655C">
          <w:rPr>
            <w:rFonts w:cs="Arial"/>
            <w:szCs w:val="24"/>
          </w:rPr>
          <w:t>as a</w:t>
        </w:r>
      </w:ins>
      <w:r w:rsidRPr="00856536">
        <w:rPr>
          <w:rFonts w:cs="Arial"/>
          <w:szCs w:val="24"/>
        </w:rPr>
        <w:t xml:space="preserve"> distinct Resource ID</w:t>
      </w:r>
      <w:ins w:id="288" w:author="Sok, Pia" w:date="2019-08-15T14:24:00Z">
        <w:r w:rsidR="0045655C">
          <w:rPr>
            <w:rFonts w:cs="Arial"/>
            <w:szCs w:val="24"/>
          </w:rPr>
          <w:t>.</w:t>
        </w:r>
      </w:ins>
      <w:del w:id="289" w:author="Sok, Pia" w:date="2019-08-15T14:24:00Z">
        <w:r w:rsidRPr="00856536" w:rsidDel="0045655C">
          <w:rPr>
            <w:rFonts w:cs="Arial"/>
            <w:szCs w:val="24"/>
          </w:rPr>
          <w:delText>,</w:delText>
        </w:r>
      </w:del>
      <w:r w:rsidRPr="00856536">
        <w:rPr>
          <w:rFonts w:cs="Arial"/>
          <w:szCs w:val="24"/>
        </w:rPr>
        <w:t xml:space="preserve"> </w:t>
      </w:r>
      <w:del w:id="290" w:author="Sok, Pia" w:date="2019-08-15T14:25:00Z">
        <w:r w:rsidRPr="00856536" w:rsidDel="0045655C">
          <w:rPr>
            <w:rFonts w:cs="Arial"/>
            <w:szCs w:val="24"/>
          </w:rPr>
          <w:delText xml:space="preserve">and </w:delText>
        </w:r>
        <w:commentRangeStart w:id="291"/>
        <w:commentRangeStart w:id="292"/>
        <w:r w:rsidRPr="00856536" w:rsidDel="0045655C">
          <w:rPr>
            <w:rFonts w:cs="Arial"/>
            <w:szCs w:val="24"/>
          </w:rPr>
          <w:delText>the scheduling of the</w:delText>
        </w:r>
      </w:del>
      <w:ins w:id="293"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94" w:author="Sok, Pia" w:date="2019-08-15T14:25:00Z">
        <w:r w:rsidRPr="00856536" w:rsidDel="0045655C">
          <w:rPr>
            <w:rFonts w:cs="Arial"/>
            <w:szCs w:val="48"/>
          </w:rPr>
          <w:delText>remain at</w:delText>
        </w:r>
      </w:del>
      <w:ins w:id="295" w:author="Sok, Pia" w:date="2019-08-15T14:25:00Z">
        <w:r w:rsidR="0045655C">
          <w:rPr>
            <w:rFonts w:cs="Arial"/>
            <w:szCs w:val="48"/>
          </w:rPr>
          <w:t>be scheduled and settled at</w:t>
        </w:r>
      </w:ins>
      <w:r w:rsidRPr="00856536">
        <w:rPr>
          <w:rFonts w:cs="Arial"/>
          <w:szCs w:val="48"/>
        </w:rPr>
        <w:t xml:space="preserve"> the Default LAP</w:t>
      </w:r>
      <w:ins w:id="296" w:author="Sok, Pia" w:date="2019-08-15T14:25:00Z">
        <w:r w:rsidR="0045655C">
          <w:rPr>
            <w:rFonts w:cs="Arial"/>
            <w:szCs w:val="48"/>
          </w:rPr>
          <w:t xml:space="preserve"> (DLAP)</w:t>
        </w:r>
      </w:ins>
      <w:ins w:id="297"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8" w:author="Gilbert, Anja" w:date="2019-08-13T08:41:00Z">
        <w:r w:rsidRPr="00856536" w:rsidDel="00736460">
          <w:rPr>
            <w:rFonts w:cs="Arial"/>
            <w:szCs w:val="24"/>
          </w:rPr>
          <w:delText>E</w:delText>
        </w:r>
      </w:del>
      <w:ins w:id="299" w:author="Gilbert, Anja" w:date="2019-08-13T08:41:00Z">
        <w:r w:rsidR="00736460">
          <w:rPr>
            <w:rFonts w:cs="Arial"/>
            <w:szCs w:val="24"/>
          </w:rPr>
          <w:t>e</w:t>
        </w:r>
      </w:ins>
      <w:r w:rsidRPr="00856536">
        <w:rPr>
          <w:rFonts w:cs="Arial"/>
          <w:szCs w:val="24"/>
        </w:rPr>
        <w:t xml:space="preserve">nergy provided </w:t>
      </w:r>
      <w:del w:id="300" w:author="Sok, Pia" w:date="2019-08-15T14:26:00Z">
        <w:r w:rsidRPr="00856536" w:rsidDel="0045655C">
          <w:rPr>
            <w:rFonts w:cs="Arial"/>
            <w:szCs w:val="24"/>
          </w:rPr>
          <w:delText xml:space="preserve">by Demand Response Providers </w:delText>
        </w:r>
        <w:commentRangeEnd w:id="291"/>
        <w:r w:rsidR="001C70E4" w:rsidDel="0045655C">
          <w:rPr>
            <w:rStyle w:val="CommentReference"/>
          </w:rPr>
          <w:commentReference w:id="291"/>
        </w:r>
      </w:del>
      <w:commentRangeEnd w:id="292"/>
      <w:r w:rsidR="00E07EE5">
        <w:rPr>
          <w:rStyle w:val="CommentReference"/>
        </w:rPr>
        <w:commentReference w:id="292"/>
      </w:r>
      <w:del w:id="301" w:author="Sok, Pia" w:date="2019-08-15T14:26:00Z">
        <w:r w:rsidRPr="00856536" w:rsidDel="0045655C">
          <w:rPr>
            <w:rFonts w:cs="Arial"/>
            <w:szCs w:val="24"/>
          </w:rPr>
          <w:delText xml:space="preserve">from </w:delText>
        </w:r>
      </w:del>
      <w:ins w:id="302" w:author="Sok, Pia" w:date="2019-08-15T14:26:00Z">
        <w:r w:rsidR="0045655C" w:rsidRPr="00856536">
          <w:rPr>
            <w:rFonts w:cs="Arial"/>
            <w:szCs w:val="24"/>
          </w:rPr>
          <w:t>f</w:t>
        </w:r>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303" w:author="Sok, Pia" w:date="2019-08-15T14:26:00Z">
        <w:r w:rsidR="0045655C">
          <w:rPr>
            <w:rFonts w:cs="Arial"/>
            <w:szCs w:val="24"/>
          </w:rPr>
          <w:t xml:space="preserve">which is </w:t>
        </w:r>
      </w:ins>
      <w:r w:rsidRPr="00856536">
        <w:rPr>
          <w:rFonts w:cs="Arial"/>
          <w:szCs w:val="24"/>
        </w:rPr>
        <w:t xml:space="preserve">calculated </w:t>
      </w:r>
      <w:del w:id="304"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305"/>
      <w:commentRangeStart w:id="306"/>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7" w:author="Sok, Pia" w:date="2019-08-15T14:28:00Z">
        <w:r w:rsidR="002C71F5">
          <w:rPr>
            <w:rFonts w:cs="Arial"/>
            <w:szCs w:val="24"/>
          </w:rPr>
          <w:t>and section 5 of this BPM</w:t>
        </w:r>
      </w:ins>
      <w:del w:id="308" w:author="Sok, Pia" w:date="2019-08-15T14:28:00Z">
        <w:r w:rsidR="007F44A3" w:rsidRPr="000F4DE9" w:rsidDel="002C71F5">
          <w:rPr>
            <w:rFonts w:cs="Arial"/>
            <w:szCs w:val="24"/>
          </w:rPr>
          <w:delText>Performance Evaluation Methodologies for PDRs and RDRRs</w:delText>
        </w:r>
      </w:del>
      <w:commentRangeEnd w:id="305"/>
      <w:r w:rsidR="00736460">
        <w:rPr>
          <w:rStyle w:val="CommentReference"/>
        </w:rPr>
        <w:commentReference w:id="305"/>
      </w:r>
      <w:commentRangeEnd w:id="306"/>
      <w:r w:rsidR="00E07EE5">
        <w:rPr>
          <w:rStyle w:val="CommentReference"/>
        </w:rPr>
        <w:commentReference w:id="306"/>
      </w:r>
      <w:del w:id="309" w:author="Sok, Pia" w:date="2019-08-15T14:28:00Z">
        <w:r w:rsidRPr="000F4DE9" w:rsidDel="002C71F5">
          <w:rPr>
            <w:rFonts w:cs="Arial"/>
            <w:szCs w:val="24"/>
          </w:rPr>
          <w:delText>)</w:delText>
        </w:r>
      </w:del>
      <w:ins w:id="310" w:author="Sok, Pia" w:date="2019-08-15T14:29:00Z">
        <w:r w:rsidR="000D68AD">
          <w:rPr>
            <w:rFonts w:cs="Arial"/>
            <w:szCs w:val="24"/>
          </w:rPr>
          <w:t>.</w:t>
        </w:r>
      </w:ins>
      <w:del w:id="311"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12"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13"/>
      <w:commentRangeStart w:id="314"/>
      <w:del w:id="315"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16" w:author="Chiu, Randy" w:date="2019-08-12T14:50:00Z">
        <w:del w:id="317" w:author="Sok, Pia" w:date="2019-08-19T16:35:00Z">
          <w:r w:rsidR="004D479E" w:rsidDel="00050F14">
            <w:rPr>
              <w:rFonts w:cs="Arial"/>
              <w:szCs w:val="24"/>
            </w:rPr>
            <w:delText xml:space="preserve"> </w:delText>
          </w:r>
        </w:del>
      </w:ins>
      <w:del w:id="318" w:author="Sok, Pia" w:date="2019-08-19T16:35:00Z">
        <w:r w:rsidRPr="00856536" w:rsidDel="00050F14">
          <w:rPr>
            <w:rFonts w:cs="Arial"/>
            <w:szCs w:val="24"/>
          </w:rPr>
          <w:delText xml:space="preserve">  (CAISO Tariff Section 11.5.2.4)</w:delText>
        </w:r>
        <w:commentRangeEnd w:id="313"/>
        <w:r w:rsidR="00CB0681" w:rsidDel="00050F14">
          <w:rPr>
            <w:rStyle w:val="CommentReference"/>
          </w:rPr>
          <w:commentReference w:id="313"/>
        </w:r>
        <w:commentRangeEnd w:id="314"/>
        <w:r w:rsidR="000D68AD" w:rsidDel="00050F14">
          <w:rPr>
            <w:rStyle w:val="CommentReference"/>
          </w:rPr>
          <w:commentReference w:id="314"/>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and Utility Distribution Company (UDC) have the opportunity to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instructions as if it were a generator.  The PDR or RDRR is bid and settled at a PNode (which could be a specific location or an aggregation of PNodes</w:t>
      </w:r>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19"/>
      <w:commentRangeStart w:id="320"/>
      <w:commentRangeStart w:id="321"/>
      <w:commentRangeStart w:id="322"/>
      <w:del w:id="323" w:author="Sok, Pia" w:date="2019-08-19T16:35:00Z">
        <w:r w:rsidDel="001977CA">
          <w:rPr>
            <w:rFonts w:cs="Arial"/>
            <w:szCs w:val="24"/>
          </w:rPr>
          <w:delText>In</w:delText>
        </w:r>
        <w:r w:rsidR="00793955" w:rsidDel="001977CA">
          <w:rPr>
            <w:rFonts w:cs="Arial"/>
            <w:szCs w:val="24"/>
          </w:rPr>
          <w:delText xml:space="preserve"> ESDER 2</w:delText>
        </w:r>
        <w:commentRangeEnd w:id="319"/>
        <w:r w:rsidR="00736460" w:rsidDel="001977CA">
          <w:rPr>
            <w:rStyle w:val="CommentReference"/>
          </w:rPr>
          <w:commentReference w:id="319"/>
        </w:r>
        <w:commentRangeEnd w:id="320"/>
        <w:r w:rsidR="000D68AD" w:rsidDel="001977CA">
          <w:rPr>
            <w:rStyle w:val="CommentReference"/>
          </w:rPr>
          <w:commentReference w:id="320"/>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21"/>
      <w:r w:rsidR="0030251A">
        <w:rPr>
          <w:rStyle w:val="CommentReference"/>
        </w:rPr>
        <w:commentReference w:id="321"/>
      </w:r>
      <w:commentRangeEnd w:id="322"/>
      <w:r w:rsidR="000D68AD">
        <w:rPr>
          <w:rStyle w:val="CommentReference"/>
        </w:rPr>
        <w:commentReference w:id="322"/>
      </w:r>
    </w:p>
    <w:p w14:paraId="714B89DB" w14:textId="77777777" w:rsidR="00793955" w:rsidRDefault="00793955" w:rsidP="00A12441">
      <w:pPr>
        <w:numPr>
          <w:ilvl w:val="1"/>
          <w:numId w:val="10"/>
        </w:numPr>
        <w:autoSpaceDE w:val="0"/>
        <w:autoSpaceDN w:val="0"/>
        <w:adjustRightInd w:val="0"/>
        <w:spacing w:after="240" w:line="300" w:lineRule="auto"/>
        <w:jc w:val="left"/>
        <w:rPr>
          <w:rFonts w:cs="Arial"/>
          <w:szCs w:val="24"/>
        </w:rPr>
      </w:pPr>
      <w:del w:id="324" w:author="Hernandez, John" w:date="2019-08-07T09:11:00Z">
        <w:r w:rsidDel="0030251A">
          <w:rPr>
            <w:rFonts w:cs="Arial"/>
            <w:szCs w:val="24"/>
          </w:rPr>
          <w:delText xml:space="preserve"> </w:delText>
        </w:r>
      </w:del>
      <w:r>
        <w:rPr>
          <w:rFonts w:cs="Arial"/>
          <w:szCs w:val="24"/>
        </w:rPr>
        <w:t>Residential End Users</w:t>
      </w:r>
      <w:ins w:id="325" w:author="Hernandez, John" w:date="2019-08-07T09:15:00Z">
        <w:r w:rsidR="0030251A">
          <w:rPr>
            <w:rFonts w:cs="Arial"/>
            <w:szCs w:val="24"/>
          </w:rPr>
          <w:t>: DRP</w:t>
        </w:r>
      </w:ins>
      <w:r>
        <w:rPr>
          <w:rFonts w:cs="Arial"/>
          <w:szCs w:val="24"/>
        </w:rPr>
        <w:t xml:space="preserve"> may elect to use</w:t>
      </w:r>
      <w:ins w:id="326"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and weather matching methodology.</w:t>
      </w:r>
    </w:p>
    <w:p w14:paraId="79F47F3B" w14:textId="77777777"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27" w:author="Hernandez, John" w:date="2019-08-07T09:15:00Z">
        <w:r w:rsidR="0030251A">
          <w:rPr>
            <w:rFonts w:cs="Arial"/>
            <w:szCs w:val="24"/>
          </w:rPr>
          <w:t>: DRP</w:t>
        </w:r>
      </w:ins>
      <w:r>
        <w:rPr>
          <w:rFonts w:cs="Arial"/>
          <w:szCs w:val="24"/>
        </w:rPr>
        <w:t xml:space="preserve"> may elect to use</w:t>
      </w:r>
      <w:ins w:id="328" w:author="Hernandez, John" w:date="2019-08-07T09:14:00Z">
        <w:r w:rsidR="0030251A">
          <w:rPr>
            <w:rFonts w:cs="Arial"/>
            <w:szCs w:val="24"/>
          </w:rPr>
          <w:t xml:space="preserve"> either</w:t>
        </w:r>
      </w:ins>
      <w:r>
        <w:rPr>
          <w:rFonts w:cs="Arial"/>
          <w:szCs w:val="24"/>
        </w:rPr>
        <w:t xml:space="preserve"> the ten-in-ten, metering generator methodology, control group methodology, and 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329"/>
      <w:commentRangeStart w:id="330"/>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331" w:author="Hernandez, John" w:date="2019-08-07T09:20:00Z">
            <w:rPr>
              <w:rFonts w:cs="Arial"/>
              <w:szCs w:val="22"/>
            </w:rPr>
          </w:rPrChange>
        </w:rPr>
        <w:t>generally</w:t>
      </w:r>
      <w:r w:rsidRPr="00856536">
        <w:rPr>
          <w:rFonts w:cs="Arial"/>
          <w:szCs w:val="22"/>
        </w:rPr>
        <w:t xml:space="preserve"> determined through a pre-established baseline calculation using the last 10 similar non-event</w:t>
      </w:r>
      <w:r w:rsidRPr="00856536">
        <w:rPr>
          <w:rFonts w:cs="Arial"/>
          <w:szCs w:val="24"/>
        </w:rPr>
        <w:t xml:space="preserve"> hours with a look back window of 45 days.  </w:t>
      </w:r>
      <w:commentRangeEnd w:id="329"/>
      <w:r w:rsidR="00545BA5">
        <w:rPr>
          <w:rStyle w:val="CommentReference"/>
        </w:rPr>
        <w:commentReference w:id="329"/>
      </w:r>
      <w:commentRangeEnd w:id="330"/>
      <w:r w:rsidR="00F14B96">
        <w:rPr>
          <w:rStyle w:val="CommentReference"/>
        </w:rPr>
        <w:commentReference w:id="330"/>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77777777" w:rsidR="00793955" w:rsidRPr="00292E00" w:rsidRDefault="00793955" w:rsidP="00A12441">
      <w:pPr>
        <w:pStyle w:val="ListParagraph"/>
        <w:numPr>
          <w:ilvl w:val="0"/>
          <w:numId w:val="14"/>
        </w:numPr>
        <w:autoSpaceDE w:val="0"/>
        <w:autoSpaceDN w:val="0"/>
        <w:adjustRightInd w:val="0"/>
        <w:spacing w:after="240" w:line="300" w:lineRule="auto"/>
        <w:jc w:val="left"/>
        <w:rPr>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3"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32" w:name="_Toc464552292"/>
      <w:bookmarkStart w:id="333" w:name="_Toc491332177"/>
      <w:bookmarkStart w:id="334" w:name="_Toc17375866"/>
      <w:r w:rsidRPr="00856536">
        <w:rPr>
          <w:rFonts w:cs="Arial"/>
        </w:rPr>
        <w:t>Process Overview</w:t>
      </w:r>
      <w:bookmarkEnd w:id="332"/>
      <w:bookmarkEnd w:id="333"/>
      <w:bookmarkEnd w:id="334"/>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04CC34D" w14:textId="77777777" w:rsidR="00583C6A" w:rsidRPr="002A2E5E" w:rsidRDefault="00583C6A" w:rsidP="0028415A">
      <w:pPr>
        <w:pStyle w:val="Heading2"/>
        <w:jc w:val="left"/>
        <w:rPr>
          <w:rFonts w:cs="Arial"/>
          <w:bCs/>
          <w:szCs w:val="30"/>
        </w:rPr>
      </w:pPr>
      <w:bookmarkStart w:id="335" w:name="_Toc527554012"/>
      <w:bookmarkStart w:id="336" w:name="_Toc6912776"/>
      <w:bookmarkStart w:id="337" w:name="_Toc17375867"/>
      <w:r w:rsidRPr="002A2E5E">
        <w:rPr>
          <w:rFonts w:cs="Arial"/>
          <w:b w:val="0"/>
          <w:szCs w:val="30"/>
        </w:rPr>
        <w:t>Market Participation Demand Response Registration Checklist</w:t>
      </w:r>
      <w:bookmarkEnd w:id="335"/>
      <w:bookmarkEnd w:id="336"/>
      <w:bookmarkEnd w:id="337"/>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38" w:author="Sok, Pia" w:date="2019-08-22T09:13:00Z"/>
          <w:noProof/>
        </w:rPr>
      </w:pPr>
    </w:p>
    <w:p w14:paraId="1F00C27D" w14:textId="266DF323" w:rsidR="00046D25" w:rsidRDefault="00046D25" w:rsidP="00E62454">
      <w:pPr>
        <w:pStyle w:val="ParaText"/>
        <w:rPr>
          <w:ins w:id="339"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40" w:name="_Toc464552293"/>
      <w:bookmarkStart w:id="341" w:name="_Toc491332178"/>
      <w:bookmarkStart w:id="342" w:name="_Toc17375868"/>
      <w:r w:rsidRPr="00856536">
        <w:rPr>
          <w:rFonts w:cs="Arial"/>
        </w:rPr>
        <w:t>Executing a Demand Response Provider Agreement (DRPA)</w:t>
      </w:r>
      <w:bookmarkEnd w:id="340"/>
      <w:bookmarkEnd w:id="341"/>
      <w:bookmarkEnd w:id="342"/>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0"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1"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Coordinators with the CAISO) for all required tariff activities with the CAISO.  The Demand Response Provider Agreement requires that the DRP have sufficient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43" w:name="_Toc527554014"/>
      <w:bookmarkStart w:id="344" w:name="_Toc6912778"/>
      <w:bookmarkStart w:id="345" w:name="_Toc17375869"/>
      <w:r w:rsidRPr="00483FF9">
        <w:rPr>
          <w:rFonts w:cs="Arial"/>
          <w:sz w:val="32"/>
          <w:szCs w:val="32"/>
        </w:rPr>
        <w:t>Obtaining a Demand Response Provider (DRP) ID</w:t>
      </w:r>
      <w:bookmarkEnd w:id="343"/>
      <w:bookmarkEnd w:id="344"/>
      <w:bookmarkEnd w:id="345"/>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3" w:history="1">
        <w:r w:rsidRPr="00C82379">
          <w:rPr>
            <w:rStyle w:val="Hyperlink"/>
            <w:rFonts w:cs="Arial"/>
          </w:rPr>
          <w:t>pdr@caiso.com</w:t>
        </w:r>
      </w:hyperlink>
      <w:r w:rsidRPr="00C82379">
        <w:rPr>
          <w:rFonts w:cs="Arial"/>
        </w:rPr>
        <w:t xml:space="preserve">.  The DRP ID request form can be found at </w:t>
      </w:r>
      <w:hyperlink r:id="rId34"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46" w:name="_Toc464552294"/>
      <w:bookmarkStart w:id="347" w:name="_Toc491332179"/>
      <w:bookmarkStart w:id="348" w:name="_Toc17375870"/>
      <w:r w:rsidRPr="00856536">
        <w:t>Use of a Certified Scheduling Coordinator</w:t>
      </w:r>
      <w:bookmarkEnd w:id="346"/>
      <w:bookmarkEnd w:id="347"/>
      <w:bookmarkEnd w:id="348"/>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349" w:name="_Toc527554018"/>
      <w:bookmarkStart w:id="350" w:name="_Toc6912782"/>
      <w:bookmarkStart w:id="351" w:name="_Toc17375871"/>
      <w:r w:rsidRPr="0028415A">
        <w:rPr>
          <w:rFonts w:cs="Arial"/>
          <w:szCs w:val="34"/>
        </w:rPr>
        <w:t>Load Serving Entities (LSE) and Utility Distribution Companies (UDC)</w:t>
      </w:r>
      <w:bookmarkEnd w:id="349"/>
      <w:bookmarkEnd w:id="350"/>
      <w:bookmarkEnd w:id="351"/>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352" w:name="_Toc527554019"/>
      <w:bookmarkStart w:id="353" w:name="_Toc6912783"/>
      <w:bookmarkStart w:id="354" w:name="_Toc17375872"/>
      <w:r w:rsidRPr="0028415A">
        <w:rPr>
          <w:rFonts w:cs="Arial"/>
          <w:szCs w:val="30"/>
        </w:rPr>
        <w:t>Obtaining a Load Serving Entity (LSE) ID or Utility Distribution Company (UDC) ID</w:t>
      </w:r>
      <w:bookmarkEnd w:id="352"/>
      <w:bookmarkEnd w:id="353"/>
      <w:bookmarkEnd w:id="354"/>
    </w:p>
    <w:p w14:paraId="61BE23E2" w14:textId="2E89A016" w:rsidR="00934F4D" w:rsidDel="00EC060C" w:rsidRDefault="00934F4D" w:rsidP="00C8669A">
      <w:pPr>
        <w:rPr>
          <w:del w:id="355"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r w:rsidR="00046D25">
        <w:rPr>
          <w:rFonts w:cs="Arial"/>
        </w:rPr>
        <w:fldChar w:fldCharType="begin"/>
      </w:r>
      <w:r w:rsidR="00046D25" w:rsidRPr="00EC060C">
        <w:rPr>
          <w:rFonts w:cs="Arial"/>
          <w:rPrChange w:id="356" w:author="Sok, Pia" w:date="2019-08-22T13:49:00Z">
            <w:rPr/>
          </w:rPrChange>
        </w:rPr>
        <w:instrText xml:space="preserve"> HYPERLINK "http://www.caiso.com/Documents/ListofDemandResponseParticipants.pdf" </w:instrText>
      </w:r>
      <w:r w:rsidR="00046D25">
        <w:rPr>
          <w:rFonts w:cs="Arial"/>
          <w:rPrChange w:id="357" w:author="Sok, Pia" w:date="2019-08-22T13:49:00Z">
            <w:rPr>
              <w:rFonts w:cs="Arial"/>
            </w:rPr>
          </w:rPrChange>
        </w:rPr>
        <w:fldChar w:fldCharType="separate"/>
      </w:r>
      <w:r w:rsidRPr="00483FF9">
        <w:rPr>
          <w:rFonts w:cs="Arial"/>
        </w:rPr>
        <w:t>http://www.caiso.com/Documents/ListofDemandResponseParticipants.pdf</w:t>
      </w:r>
      <w:r w:rsidR="00046D25">
        <w:rPr>
          <w:rFonts w:cs="Arial"/>
        </w:rPr>
        <w:fldChar w:fldCharType="end"/>
      </w:r>
      <w:ins w:id="358" w:author="Sok, Pia" w:date="2019-08-22T13:49:00Z">
        <w:r w:rsidR="00EC060C">
          <w:rPr>
            <w:rFonts w:cs="Arial"/>
          </w:rPr>
          <w:t xml:space="preserve">. </w:t>
        </w:r>
      </w:ins>
      <w:del w:id="359" w:author="Sok, Pia" w:date="2019-08-21T16:22:00Z">
        <w:r w:rsidRPr="00483FF9" w:rsidDel="002562AF">
          <w:rPr>
            <w:rFonts w:cs="Arial"/>
          </w:rPr>
          <w:delText xml:space="preserve"> </w:delText>
        </w:r>
      </w:del>
      <w:del w:id="360" w:author="Sok, Pia" w:date="2019-08-22T13:49:00Z">
        <w:r w:rsidRPr="00483FF9" w:rsidDel="00EC060C">
          <w:rPr>
            <w:rFonts w:cs="Arial"/>
          </w:rPr>
          <w:delText>.</w:delText>
        </w:r>
      </w:del>
      <w:commentRangeStart w:id="361"/>
      <w:ins w:id="362" w:author="Sok, Pia" w:date="2019-08-22T13:49:00Z">
        <w:r w:rsidR="00EC060C" w:rsidRPr="00EC060C">
          <w:rPr>
            <w:rFonts w:cs="Arial"/>
            <w:rPrChange w:id="363"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361"/>
      <w:ins w:id="364" w:author="Sok, Pia" w:date="2019-08-22T13:50:00Z">
        <w:r w:rsidR="00EC060C">
          <w:rPr>
            <w:rStyle w:val="CommentReference"/>
          </w:rPr>
          <w:commentReference w:id="361"/>
        </w:r>
      </w:ins>
    </w:p>
    <w:p w14:paraId="70CF2828" w14:textId="77777777" w:rsidR="00EC060C" w:rsidRPr="00483FF9" w:rsidRDefault="00EC060C" w:rsidP="00934F4D">
      <w:pPr>
        <w:rPr>
          <w:ins w:id="365"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5"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6"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366" w:name="_Toc17375873"/>
      <w:r w:rsidRPr="006166C4">
        <w:rPr>
          <w:szCs w:val="30"/>
        </w:rPr>
        <w:t>Demand Response Registration System (</w:t>
      </w:r>
      <w:commentRangeStart w:id="367"/>
      <w:commentRangeStart w:id="368"/>
      <w:r w:rsidRPr="006166C4">
        <w:rPr>
          <w:szCs w:val="30"/>
        </w:rPr>
        <w:t>DRRS</w:t>
      </w:r>
      <w:commentRangeEnd w:id="367"/>
      <w:r w:rsidR="00AD605A">
        <w:rPr>
          <w:rStyle w:val="CommentReference"/>
          <w:b w:val="0"/>
          <w:kern w:val="0"/>
        </w:rPr>
        <w:commentReference w:id="367"/>
      </w:r>
      <w:commentRangeEnd w:id="368"/>
      <w:r w:rsidR="00BE47C8">
        <w:rPr>
          <w:rStyle w:val="CommentReference"/>
          <w:b w:val="0"/>
          <w:kern w:val="0"/>
        </w:rPr>
        <w:commentReference w:id="368"/>
      </w:r>
      <w:r w:rsidRPr="006166C4">
        <w:rPr>
          <w:szCs w:val="30"/>
        </w:rPr>
        <w:t>)</w:t>
      </w:r>
      <w:bookmarkEnd w:id="366"/>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10493357" w:rsidR="00E62454" w:rsidRDefault="00E62454" w:rsidP="00E62454">
      <w:pPr>
        <w:spacing w:line="276" w:lineRule="auto"/>
        <w:rPr>
          <w:ins w:id="369"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370" w:author="Sok, Pia" w:date="2019-08-19T16:39:00Z">
        <w:r>
          <w:t xml:space="preserve">Please refer to the DR User Guide for more information about the </w:t>
        </w:r>
      </w:ins>
      <w:ins w:id="371" w:author="Sok, Pia" w:date="2019-08-19T16:40:00Z">
        <w:r>
          <w:t>DRRS UI</w:t>
        </w:r>
      </w:ins>
      <w:ins w:id="372" w:author="Sok, Pia" w:date="2019-08-19T16:39:00Z">
        <w:r>
          <w:t xml:space="preserve">, and </w:t>
        </w:r>
      </w:ins>
      <w:ins w:id="373"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374" w:name="_Toc17375874"/>
      <w:commentRangeStart w:id="375"/>
      <w:r w:rsidRPr="006166C4">
        <w:rPr>
          <w:szCs w:val="30"/>
        </w:rPr>
        <w:t>Performance Evaluation Methodology</w:t>
      </w:r>
      <w:r w:rsidR="00A55FBC">
        <w:rPr>
          <w:szCs w:val="30"/>
        </w:rPr>
        <w:t xml:space="preserve"> </w:t>
      </w:r>
      <w:r w:rsidRPr="006166C4">
        <w:rPr>
          <w:szCs w:val="30"/>
        </w:rPr>
        <w:t>Approval Process</w:t>
      </w:r>
      <w:commentRangeEnd w:id="375"/>
      <w:r w:rsidR="00736460">
        <w:rPr>
          <w:rStyle w:val="CommentReference"/>
          <w:b w:val="0"/>
          <w:kern w:val="0"/>
        </w:rPr>
        <w:commentReference w:id="375"/>
      </w:r>
      <w:bookmarkEnd w:id="374"/>
    </w:p>
    <w:p w14:paraId="2C5C45F0" w14:textId="7707C5B2" w:rsidR="00B304F4" w:rsidRPr="00137182" w:rsidRDefault="00B304F4" w:rsidP="0028415A">
      <w:pPr>
        <w:pStyle w:val="ParaText"/>
        <w:ind w:left="90"/>
        <w:rPr>
          <w:rFonts w:cs="Arial"/>
        </w:rPr>
      </w:pPr>
      <w:r>
        <w:rPr>
          <w:rFonts w:cs="Arial"/>
        </w:rPr>
        <w:t xml:space="preserve">DRPs must obtain </w:t>
      </w:r>
      <w:commentRangeStart w:id="376"/>
      <w:commentRangeStart w:id="377"/>
      <w:r>
        <w:rPr>
          <w:rFonts w:cs="Arial"/>
        </w:rPr>
        <w:t xml:space="preserve">approval </w:t>
      </w:r>
      <w:commentRangeEnd w:id="376"/>
      <w:r w:rsidR="00736460">
        <w:rPr>
          <w:rStyle w:val="CommentReference"/>
        </w:rPr>
        <w:commentReference w:id="376"/>
      </w:r>
      <w:commentRangeEnd w:id="377"/>
      <w:r w:rsidR="00BE47C8">
        <w:rPr>
          <w:rStyle w:val="CommentReference"/>
        </w:rPr>
        <w:commentReference w:id="377"/>
      </w:r>
      <w:r>
        <w:rPr>
          <w:rFonts w:cs="Arial"/>
        </w:rPr>
        <w:t xml:space="preserve">for the use of any Performance Evaluation Methodology (PEM) before the DRRS will allow it to be a selectable option in the Registration Process.  PEM requests will be received, reviewed, and approved by the CAISO.  </w:t>
      </w:r>
      <w:ins w:id="378" w:author="Sok, Pia" w:date="2019-08-19T16:42:00Z">
        <w:r w:rsidR="001012AC">
          <w:rPr>
            <w:rFonts w:cs="Arial"/>
          </w:rPr>
          <w:t>DRP can download the PEM templates and cover</w:t>
        </w:r>
      </w:ins>
      <w:ins w:id="379" w:author="Sok, Pia" w:date="2019-08-19T16:43:00Z">
        <w:r w:rsidR="001012AC">
          <w:rPr>
            <w:rFonts w:cs="Arial"/>
          </w:rPr>
          <w:t xml:space="preserve"> </w:t>
        </w:r>
      </w:ins>
      <w:ins w:id="380"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381"/>
      <w:commentRangeStart w:id="382"/>
      <w:commentRangeStart w:id="383"/>
      <w:r>
        <w:rPr>
          <w:rFonts w:cs="Arial"/>
        </w:rPr>
        <w:t xml:space="preserve">The approval is for the DRP’s use of that PEM for registration going forward.  It is not a resource specific approval.  </w:t>
      </w:r>
      <w:commentRangeEnd w:id="381"/>
      <w:r w:rsidR="009B1F34">
        <w:rPr>
          <w:rStyle w:val="CommentReference"/>
        </w:rPr>
        <w:commentReference w:id="381"/>
      </w:r>
      <w:commentRangeEnd w:id="382"/>
      <w:r w:rsidR="00ED66DD">
        <w:rPr>
          <w:rStyle w:val="CommentReference"/>
        </w:rPr>
        <w:commentReference w:id="382"/>
      </w:r>
      <w:commentRangeEnd w:id="383"/>
      <w:r w:rsidR="00BE47C8">
        <w:rPr>
          <w:rStyle w:val="CommentReference"/>
        </w:rPr>
        <w:commentReference w:id="383"/>
      </w:r>
      <w:r w:rsidR="00CC734D">
        <w:rPr>
          <w:rFonts w:cs="Arial"/>
        </w:rPr>
        <w:t xml:space="preserve">PEM form request </w:t>
      </w:r>
      <w:r>
        <w:rPr>
          <w:rFonts w:cs="Arial"/>
        </w:rPr>
        <w:t xml:space="preserve">can be sent to </w:t>
      </w:r>
      <w:hyperlink r:id="rId37" w:history="1">
        <w:r w:rsidRPr="0069547E">
          <w:rPr>
            <w:rStyle w:val="Hyperlink"/>
          </w:rPr>
          <w:t>PDR@caiso.com</w:t>
        </w:r>
      </w:hyperlink>
      <w:r>
        <w:t xml:space="preserve">.  </w:t>
      </w:r>
      <w:del w:id="384" w:author="Sok, Pia" w:date="2019-08-19T16:43:00Z">
        <w:r w:rsidDel="001012AC">
          <w:delText>DRPs can download the PEM templates from the CAISO website.</w:delText>
        </w:r>
      </w:del>
      <w:r>
        <w:t xml:space="preserve">  DRPs will submit a completed template request to </w:t>
      </w:r>
      <w:hyperlink r:id="rId38"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385" w:author="Sok, Pia" w:date="2019-08-20T11:55:00Z">
        <w:r w:rsidR="00F603BB">
          <w:t xml:space="preserve"> </w:t>
        </w:r>
      </w:ins>
      <w:ins w:id="386" w:author="Sok, Pia" w:date="2019-08-21T14:35:00Z">
        <w:r w:rsidR="00B115C3">
          <w:t xml:space="preserve">DRP/SC </w:t>
        </w:r>
      </w:ins>
      <w:ins w:id="387" w:author="Sok, Pia" w:date="2019-08-21T15:48:00Z">
        <w:r w:rsidR="00E10A09">
          <w:t>may</w:t>
        </w:r>
      </w:ins>
      <w:ins w:id="388" w:author="Sok, Pia" w:date="2019-08-20T11:59:00Z">
        <w:r w:rsidR="00F603BB">
          <w:t xml:space="preserve"> </w:t>
        </w:r>
      </w:ins>
      <w:ins w:id="389" w:author="Sok, Pia" w:date="2019-08-21T14:26:00Z">
        <w:r w:rsidR="00B115C3">
          <w:t>update</w:t>
        </w:r>
      </w:ins>
      <w:ins w:id="390" w:author="Sok, Pia" w:date="2019-08-21T14:27:00Z">
        <w:r w:rsidR="00B115C3">
          <w:t xml:space="preserve"> its</w:t>
        </w:r>
      </w:ins>
      <w:ins w:id="391" w:author="Sok, Pia" w:date="2019-08-20T11:59:00Z">
        <w:r w:rsidR="00F603BB">
          <w:t xml:space="preserve"> </w:t>
        </w:r>
      </w:ins>
      <w:ins w:id="392" w:author="Sok, Pia" w:date="2019-08-20T11:55:00Z">
        <w:r w:rsidR="00F603BB">
          <w:t>Baseline Method</w:t>
        </w:r>
      </w:ins>
      <w:ins w:id="393" w:author="Sok, Pia" w:date="2019-08-20T12:00:00Z">
        <w:r w:rsidR="00F603BB">
          <w:t>ology</w:t>
        </w:r>
      </w:ins>
      <w:ins w:id="394" w:author="Sok, Pia" w:date="2019-08-20T11:56:00Z">
        <w:r w:rsidR="00F603BB">
          <w:t xml:space="preserve"> </w:t>
        </w:r>
      </w:ins>
      <w:ins w:id="395" w:author="Sok, Pia" w:date="2019-08-23T07:28:00Z">
        <w:r w:rsidR="00A018E8">
          <w:t xml:space="preserve">only once </w:t>
        </w:r>
      </w:ins>
      <w:ins w:id="396" w:author="Sok, Pia" w:date="2019-08-20T11:59:00Z">
        <w:r w:rsidR="00F603BB">
          <w:t xml:space="preserve">every </w:t>
        </w:r>
      </w:ins>
      <w:ins w:id="397" w:author="Sok, Pia" w:date="2019-08-23T07:28:00Z">
        <w:r w:rsidR="00A018E8">
          <w:t>30</w:t>
        </w:r>
      </w:ins>
      <w:ins w:id="398" w:author="Sok, Pia" w:date="2019-08-20T11:59:00Z">
        <w:r w:rsidR="00F603BB">
          <w:t xml:space="preserve"> days</w:t>
        </w:r>
        <w:r w:rsidR="00B805DB">
          <w:t xml:space="preserve"> for a resource</w:t>
        </w:r>
        <w:r w:rsidR="00C2610C">
          <w:t xml:space="preserve"> </w:t>
        </w:r>
      </w:ins>
      <w:ins w:id="399" w:author="Sok, Pia" w:date="2019-08-21T15:40:00Z">
        <w:r w:rsidR="00C2610C">
          <w:t>that</w:t>
        </w:r>
      </w:ins>
      <w:ins w:id="400" w:author="Sok, Pia" w:date="2019-08-20T11:59:00Z">
        <w:r w:rsidR="00C2610C">
          <w:t xml:space="preserve"> </w:t>
        </w:r>
      </w:ins>
      <w:ins w:id="401" w:author="Sok, Pia" w:date="2019-08-21T15:40:00Z">
        <w:r w:rsidR="00C2610C">
          <w:t>has been used in a registration.</w:t>
        </w:r>
      </w:ins>
      <w:bookmarkStart w:id="402" w:name="_GoBack"/>
      <w:bookmarkEnd w:id="402"/>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403"/>
      <w:commentRangeStart w:id="404"/>
      <w:r>
        <w:rPr>
          <w:rFonts w:cs="Arial"/>
        </w:rPr>
        <w:t xml:space="preserve">Meter Generator Output </w:t>
      </w:r>
      <w:commentRangeEnd w:id="403"/>
      <w:r w:rsidR="009B1F34">
        <w:rPr>
          <w:rStyle w:val="CommentReference"/>
        </w:rPr>
        <w:commentReference w:id="403"/>
      </w:r>
      <w:commentRangeEnd w:id="404"/>
      <w:r w:rsidR="001164D4">
        <w:rPr>
          <w:rStyle w:val="CommentReference"/>
        </w:rPr>
        <w:commentReference w:id="404"/>
      </w:r>
    </w:p>
    <w:p w14:paraId="2D4E8F93" w14:textId="74EB4454" w:rsidR="00B304F4" w:rsidRDefault="00B304F4" w:rsidP="0028415A">
      <w:pPr>
        <w:pStyle w:val="ListParagraph"/>
        <w:numPr>
          <w:ilvl w:val="0"/>
          <w:numId w:val="18"/>
        </w:numPr>
        <w:spacing w:after="240"/>
        <w:jc w:val="left"/>
        <w:rPr>
          <w:rFonts w:cs="Arial"/>
        </w:rPr>
      </w:pPr>
      <w:r>
        <w:rPr>
          <w:rFonts w:cs="Arial"/>
        </w:rPr>
        <w:t>Meter Generation Output with 10 in 10</w:t>
      </w:r>
      <w:ins w:id="405" w:author="Sok, Pia" w:date="2019-08-19T16:44:00Z">
        <w:r w:rsidR="00046D25">
          <w:rPr>
            <w:rFonts w:cs="Arial"/>
          </w:rPr>
          <w:t xml:space="preserve"> </w:t>
        </w:r>
        <w:r w:rsidR="001012AC">
          <w:rPr>
            <w:rFonts w:cs="Arial"/>
          </w:rPr>
          <w:t>also known as Meter Generation Output with CLB</w:t>
        </w:r>
      </w:ins>
    </w:p>
    <w:p w14:paraId="39E6C8DA" w14:textId="77777777" w:rsidR="00B304F4" w:rsidRPr="00934F4D" w:rsidRDefault="00B304F4" w:rsidP="0028415A">
      <w:pPr>
        <w:pStyle w:val="ListParagraph"/>
        <w:spacing w:after="0"/>
        <w:jc w:val="left"/>
        <w:rPr>
          <w:rFonts w:cs="Arial"/>
        </w:rPr>
      </w:pPr>
    </w:p>
    <w:p w14:paraId="65B433DA" w14:textId="77777777"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PDR and RDRRs consisting of residential End Users may elect to use the ten-in-ten, metering generator output, control group, five-in-ten and weather. </w:t>
      </w:r>
    </w:p>
    <w:p w14:paraId="4D36182C" w14:textId="77777777" w:rsidR="00693975" w:rsidRPr="00F32F59" w:rsidRDefault="00693975" w:rsidP="0028415A">
      <w:pPr>
        <w:pStyle w:val="ListParagraph"/>
        <w:numPr>
          <w:ilvl w:val="0"/>
          <w:numId w:val="18"/>
        </w:numPr>
        <w:spacing w:after="240"/>
        <w:jc w:val="left"/>
        <w:rPr>
          <w:rFonts w:cs="Arial"/>
        </w:rPr>
      </w:pPr>
      <w:r w:rsidRPr="00F32F59">
        <w:rPr>
          <w:rFonts w:cs="Arial"/>
        </w:rPr>
        <w:t>Residential End Users may elect to use the ten-in-ten, metering generator output, control group, five-in-ten, and weather matching methodology.</w:t>
      </w:r>
    </w:p>
    <w:p w14:paraId="2F4A31FE" w14:textId="77777777" w:rsidR="00CC734D" w:rsidRDefault="00693975" w:rsidP="0028415A">
      <w:pPr>
        <w:pStyle w:val="ListParagraph"/>
        <w:numPr>
          <w:ilvl w:val="0"/>
          <w:numId w:val="18"/>
        </w:numPr>
        <w:spacing w:after="240"/>
        <w:rPr>
          <w:rFonts w:cs="Arial"/>
        </w:rPr>
      </w:pPr>
      <w:r w:rsidRPr="00F32F59">
        <w:rPr>
          <w:rFonts w:cs="Arial"/>
        </w:rPr>
        <w:t>Non-residential End Users may elect to use the ten-in-ten, metering generator output, control group, and weather matching methodology.</w:t>
      </w:r>
    </w:p>
    <w:p w14:paraId="4C6CA73A" w14:textId="4527D4BB" w:rsidR="00CC734D" w:rsidRDefault="00CC734D" w:rsidP="00CC734D">
      <w:pPr>
        <w:pStyle w:val="ParaText"/>
        <w:ind w:left="90"/>
        <w:rPr>
          <w:ins w:id="406" w:author="Sok, Pia" w:date="2019-08-20T12:18:00Z"/>
          <w:rFonts w:cs="Arial"/>
        </w:rPr>
      </w:pPr>
      <w:commentRangeStart w:id="407"/>
      <w:commentRangeStart w:id="408"/>
      <w:r>
        <w:rPr>
          <w:rFonts w:cs="Arial"/>
        </w:rPr>
        <w:t>If the Performance Evaluation Methodology require approval of a resource specific metering device used for your measurement method, a SQMD Plan Template must be submitted</w:t>
      </w:r>
      <w:ins w:id="409" w:author="Sok, Pia" w:date="2019-08-19T16:59:00Z">
        <w:r w:rsidR="009C677F">
          <w:rPr>
            <w:rFonts w:cs="Arial"/>
          </w:rPr>
          <w:t xml:space="preserve"> for CAI</w:t>
        </w:r>
      </w:ins>
      <w:ins w:id="410" w:author="Sok, Pia" w:date="2019-08-19T17:00:00Z">
        <w:r w:rsidR="009C677F">
          <w:rPr>
            <w:rFonts w:cs="Arial"/>
          </w:rPr>
          <w:t>SO approval</w:t>
        </w:r>
      </w:ins>
      <w:r>
        <w:rPr>
          <w:rFonts w:cs="Arial"/>
        </w:rPr>
        <w:t xml:space="preserve">.  </w:t>
      </w:r>
      <w:commentRangeEnd w:id="407"/>
      <w:r w:rsidR="009B1F34">
        <w:rPr>
          <w:rStyle w:val="CommentReference"/>
        </w:rPr>
        <w:commentReference w:id="407"/>
      </w:r>
      <w:commentRangeEnd w:id="408"/>
      <w:r w:rsidR="0008702F">
        <w:rPr>
          <w:rStyle w:val="CommentReference"/>
        </w:rPr>
        <w:commentReference w:id="408"/>
      </w:r>
      <w:r>
        <w:rPr>
          <w:rFonts w:cs="Arial"/>
        </w:rPr>
        <w:t>SQMD Plan template approval process must go through the New Resource Implementation process, and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411"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412"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413" w:author="Sok, Pia" w:date="2019-08-20T12:18:00Z">
        <w:r w:rsidR="00EC15D6">
          <w:rPr>
            <w:rFonts w:cs="Arial"/>
          </w:rPr>
          <w:fldChar w:fldCharType="end"/>
        </w:r>
        <w:r w:rsidR="00EC15D6">
          <w:rPr>
            <w:rFonts w:cs="Arial"/>
          </w:rPr>
          <w:t>.</w:t>
        </w:r>
      </w:ins>
    </w:p>
    <w:p w14:paraId="2A3FF0BF" w14:textId="2275CFF2" w:rsidR="00EC15D6" w:rsidRDefault="00EC15D6" w:rsidP="00CC734D">
      <w:pPr>
        <w:pStyle w:val="ParaText"/>
        <w:ind w:left="90"/>
        <w:rPr>
          <w:rFonts w:cs="Arial"/>
        </w:rPr>
      </w:pPr>
      <w:ins w:id="414" w:author="Sok, Pia" w:date="2019-08-20T12:18:00Z">
        <w:r>
          <w:rPr>
            <w:rFonts w:cs="Arial"/>
          </w:rPr>
          <w:t xml:space="preserve">Please refer to the BPM for </w:t>
        </w:r>
      </w:ins>
      <w:ins w:id="415" w:author="Sok, Pia" w:date="2019-08-20T12:19:00Z">
        <w:r>
          <w:rPr>
            <w:rFonts w:cs="Arial"/>
          </w:rPr>
          <w:t xml:space="preserve">Metering for more information </w:t>
        </w:r>
      </w:ins>
      <w:ins w:id="416" w:author="Sok, Pia" w:date="2019-08-21T16:45:00Z">
        <w:r w:rsidR="0069161A">
          <w:rPr>
            <w:rFonts w:cs="Arial"/>
          </w:rPr>
          <w:t>about</w:t>
        </w:r>
      </w:ins>
      <w:ins w:id="417" w:author="Sok, Pia" w:date="2019-08-20T12:19:00Z">
        <w:r>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418" w:name="_Toc6912839"/>
      <w:bookmarkStart w:id="419" w:name="_Toc17375875"/>
      <w:commentRangeStart w:id="420"/>
      <w:commentRangeStart w:id="421"/>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418"/>
      <w:commentRangeEnd w:id="420"/>
      <w:r w:rsidR="00736460">
        <w:rPr>
          <w:rStyle w:val="CommentReference"/>
          <w:b w:val="0"/>
        </w:rPr>
        <w:commentReference w:id="420"/>
      </w:r>
      <w:commentRangeEnd w:id="421"/>
      <w:r w:rsidR="0008702F">
        <w:rPr>
          <w:rStyle w:val="CommentReference"/>
          <w:b w:val="0"/>
        </w:rPr>
        <w:commentReference w:id="421"/>
      </w:r>
      <w:bookmarkEnd w:id="419"/>
    </w:p>
    <w:p w14:paraId="51100C41" w14:textId="4A2D100F"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422"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423" w:author="Sok, Pia" w:date="2019-08-15T14:57:00Z">
        <w:r w:rsidR="0008702F">
          <w:rPr>
            <w:rFonts w:cs="Arial"/>
          </w:rPr>
          <w:t>.  IT</w:t>
        </w:r>
      </w:ins>
      <w:del w:id="424" w:author="Sok, Pia" w:date="2019-08-15T14:57:00Z">
        <w:r w:rsidRPr="00F32F59" w:rsidDel="0008702F">
          <w:rPr>
            <w:rFonts w:cs="Arial"/>
          </w:rPr>
          <w:delText xml:space="preserve"> </w:delText>
        </w:r>
      </w:del>
      <w:commentRangeStart w:id="425"/>
      <w:commentRangeStart w:id="426"/>
      <w:r w:rsidRPr="00F32F59">
        <w:rPr>
          <w:rFonts w:cs="Arial"/>
        </w:rPr>
        <w:t xml:space="preserve">requires </w:t>
      </w:r>
      <w:commentRangeEnd w:id="425"/>
      <w:r w:rsidR="00736460">
        <w:rPr>
          <w:rStyle w:val="CommentReference"/>
        </w:rPr>
        <w:commentReference w:id="425"/>
      </w:r>
      <w:commentRangeEnd w:id="426"/>
      <w:r w:rsidR="0008702F">
        <w:rPr>
          <w:rStyle w:val="CommentReference"/>
        </w:rPr>
        <w:commentReference w:id="426"/>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427"/>
      <w:commentRangeStart w:id="428"/>
      <w:r w:rsidRPr="00F32F59">
        <w:rPr>
          <w:rFonts w:cs="Arial"/>
        </w:rPr>
        <w:t xml:space="preserve">This option would apply in instances where only the behind-the-meter device is registered in the PDR/RDRR </w:t>
      </w:r>
      <w:commentRangeEnd w:id="427"/>
      <w:r w:rsidR="00584E18">
        <w:rPr>
          <w:rStyle w:val="CommentReference"/>
        </w:rPr>
        <w:commentReference w:id="427"/>
      </w:r>
      <w:commentRangeEnd w:id="428"/>
      <w:r w:rsidR="0008702F">
        <w:rPr>
          <w:rStyle w:val="CommentReference"/>
        </w:rPr>
        <w:commentReference w:id="428"/>
      </w:r>
      <w:r w:rsidRPr="00F32F59">
        <w:rPr>
          <w:rFonts w:cs="Arial"/>
        </w:rPr>
        <w:t xml:space="preserve">(not the facility load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(t) = – [G(t) –  G</w:t>
      </w:r>
      <w:r w:rsidRPr="00F32F59">
        <w:rPr>
          <w:rFonts w:cs="Arial"/>
          <w:b/>
          <w:color w:val="000000"/>
          <w:vertAlign w:val="subscript"/>
        </w:rPr>
        <w:t>LM</w:t>
      </w:r>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429"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429"/>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t xml:space="preserve">The selection of Customer Baseline data will include a number of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(t) = – [G(t) –  G</w:t>
      </w:r>
      <w:r w:rsidRPr="00525E63">
        <w:rPr>
          <w:b/>
          <w:color w:val="000000"/>
          <w:vertAlign w:val="subscript"/>
        </w:rPr>
        <w:t>LM</w:t>
      </w:r>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430" w:name="_Toc469404880"/>
      <w:r w:rsidRPr="00F32F59">
        <w:rPr>
          <w:rFonts w:ascii="Times New Roman" w:hAnsi="Times New Roman"/>
          <w:b/>
          <w:i/>
        </w:rPr>
        <w:t>Charging and Export Treatment</w:t>
      </w:r>
      <w:bookmarkEnd w:id="430"/>
      <w:r w:rsidRPr="00F32F59">
        <w:rPr>
          <w:rFonts w:ascii="Times New Roman" w:hAnsi="Times New Roman"/>
          <w:b/>
          <w:i/>
        </w:rPr>
        <w:t xml:space="preserve"> </w:t>
      </w:r>
    </w:p>
    <w:p w14:paraId="704296A0" w14:textId="77777777" w:rsidR="00C2548F" w:rsidRPr="002B1BAB" w:rsidRDefault="00C2548F" w:rsidP="00417665"/>
    <w:p w14:paraId="45995915" w14:textId="77777777" w:rsidR="00C2548F" w:rsidRDefault="00C2548F" w:rsidP="0028415A">
      <w:pPr>
        <w:autoSpaceDE w:val="0"/>
        <w:autoSpaceDN w:val="0"/>
        <w:adjustRightInd w:val="0"/>
        <w:spacing w:after="240" w:line="300" w:lineRule="auto"/>
      </w:pPr>
      <w:r>
        <w:t>For hours when a behind-the-meter storage device is charging, the scheduling coordinator metered entity should record a “zero” for those hours or intervals in that hour.  For calculating G</w:t>
      </w:r>
      <w:r w:rsidRPr="003F70B1">
        <w:rPr>
          <w:vertAlign w:val="subscript"/>
        </w:rPr>
        <w:t>LM</w:t>
      </w:r>
      <w:r>
        <w:t>, the ISO is only interested in the average energy output (not input) across the target or minimum number of hours required for that day type.</w:t>
      </w:r>
    </w:p>
    <w:p w14:paraId="26FB5645" w14:textId="77777777" w:rsidR="00C2548F" w:rsidRPr="00356F07" w:rsidRDefault="00C2548F" w:rsidP="0028415A">
      <w:pPr>
        <w:spacing w:after="240" w:line="300" w:lineRule="auto"/>
        <w:rPr>
          <w:color w:val="000000"/>
        </w:rPr>
      </w:pPr>
      <w:r>
        <w:rPr>
          <w:color w:val="000000"/>
        </w:rPr>
        <w:t xml:space="preserve">For hours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431" w:name="_Toc469404881"/>
      <w:bookmarkStart w:id="432" w:name="_Toc6912840"/>
      <w:bookmarkStart w:id="433" w:name="_Toc17375876"/>
      <w:r w:rsidRPr="005B146F">
        <w:rPr>
          <w:rFonts w:cs="Arial"/>
          <w:sz w:val="32"/>
          <w:szCs w:val="32"/>
        </w:rPr>
        <w:t>Metering Generator Output with Customer Load Baseline</w:t>
      </w:r>
      <w:bookmarkEnd w:id="431"/>
      <w:bookmarkEnd w:id="432"/>
      <w:bookmarkEnd w:id="433"/>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(t)  –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(t) =  B</w:t>
      </w:r>
      <w:r>
        <w:rPr>
          <w:color w:val="000000"/>
          <w:vertAlign w:val="subscript"/>
        </w:rPr>
        <w:t>N-G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434" w:name="_Toc6912841"/>
      <w:bookmarkStart w:id="435" w:name="_Toc17375877"/>
      <w:r w:rsidRPr="005B146F">
        <w:rPr>
          <w:rFonts w:cs="Arial"/>
          <w:bCs/>
          <w:sz w:val="32"/>
          <w:szCs w:val="32"/>
        </w:rPr>
        <w:t>Control Group</w:t>
      </w:r>
      <w:bookmarkEnd w:id="434"/>
      <w:bookmarkEnd w:id="435"/>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436"/>
      <w:commentRangeStart w:id="437"/>
      <w:r>
        <w:rPr>
          <w:rFonts w:cs="Arial"/>
        </w:rPr>
        <w:t xml:space="preserve">The </w:t>
      </w:r>
      <w:ins w:id="438" w:author="Sok, Pia" w:date="2019-08-22T11:55:00Z">
        <w:r w:rsidR="00F10523">
          <w:rPr>
            <w:rFonts w:cs="Arial"/>
          </w:rPr>
          <w:t xml:space="preserve">Control Group </w:t>
        </w:r>
      </w:ins>
      <w:r>
        <w:rPr>
          <w:rFonts w:cs="Arial"/>
        </w:rPr>
        <w:t xml:space="preserve">Locations </w:t>
      </w:r>
      <w:ins w:id="439" w:author="Sok, Pia" w:date="2019-08-22T11:55:00Z">
        <w:r w:rsidR="00F10523">
          <w:rPr>
            <w:rFonts w:cs="Arial"/>
          </w:rPr>
          <w:t>must have a min</w:t>
        </w:r>
      </w:ins>
      <w:ins w:id="440" w:author="Sok, Pia" w:date="2019-08-22T11:58:00Z">
        <w:r w:rsidR="00F10523">
          <w:rPr>
            <w:rFonts w:cs="Arial"/>
          </w:rPr>
          <w:t>im</w:t>
        </w:r>
      </w:ins>
      <w:ins w:id="441" w:author="Sok, Pia" w:date="2019-08-22T11:55:00Z">
        <w:r w:rsidR="00F10523">
          <w:rPr>
            <w:rFonts w:cs="Arial"/>
          </w:rPr>
          <w:t>um of 150 sample sizes</w:t>
        </w:r>
      </w:ins>
      <w:ins w:id="442" w:author="Sok, Pia" w:date="2019-08-22T11:57:00Z">
        <w:r w:rsidR="00F10523">
          <w:rPr>
            <w:rFonts w:cs="Arial"/>
          </w:rPr>
          <w:t>, and</w:t>
        </w:r>
      </w:ins>
      <w:ins w:id="443" w:author="Sok, Pia" w:date="2019-08-22T11:55:00Z">
        <w:r w:rsidR="00F10523">
          <w:rPr>
            <w:rFonts w:cs="Arial"/>
          </w:rPr>
          <w:t xml:space="preserve"> </w:t>
        </w:r>
      </w:ins>
      <w:r>
        <w:rPr>
          <w:rFonts w:cs="Arial"/>
        </w:rPr>
        <w:t>can span across multiple subLAPs</w:t>
      </w:r>
      <w:commentRangeEnd w:id="436"/>
      <w:r w:rsidR="00065386">
        <w:rPr>
          <w:rStyle w:val="CommentReference"/>
        </w:rPr>
        <w:commentReference w:id="436"/>
      </w:r>
      <w:commentRangeEnd w:id="437"/>
      <w:r w:rsidR="00D85804">
        <w:rPr>
          <w:rStyle w:val="CommentReference"/>
        </w:rPr>
        <w:commentReference w:id="437"/>
      </w:r>
      <w:r>
        <w:rPr>
          <w:rFonts w:cs="Arial"/>
        </w:rPr>
        <w:t>.  The subLAP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A valid DLAP can be submitted for the registration from the API.  From the UI, the user is allowed to choose the DLAP from all the available DLAPs based on the subLAP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“locationGroupType”.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A subLAP of all locations flagged as a TG must be the same.</w:t>
      </w:r>
      <w:ins w:id="444" w:author="Sok, Pia" w:date="2019-08-22T11:57:00Z">
        <w:r w:rsidR="00F10523">
          <w:rPr>
            <w:rFonts w:cs="Arial"/>
          </w:rPr>
          <w:t xml:space="preserve">  TG </w:t>
        </w:r>
      </w:ins>
      <w:ins w:id="445" w:author="Sok, Pia" w:date="2019-08-22T11:58:00Z">
        <w:r w:rsidR="00F10523">
          <w:rPr>
            <w:rFonts w:cs="Arial"/>
          </w:rPr>
          <w:t xml:space="preserve">Locations subLAPs must </w:t>
        </w:r>
      </w:ins>
      <w:ins w:id="446" w:author="Sok, Pia" w:date="2019-08-22T13:55:00Z">
        <w:r w:rsidR="00DB30C7">
          <w:rPr>
            <w:rFonts w:cs="Arial"/>
          </w:rPr>
          <w:t xml:space="preserve">also </w:t>
        </w:r>
      </w:ins>
      <w:ins w:id="447"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448" w:author="Sok, Pia" w:date="2019-08-22T13:55:00Z">
        <w:r w:rsidDel="00DB30C7">
          <w:rPr>
            <w:rFonts w:cs="Arial"/>
          </w:rPr>
          <w:delText xml:space="preserve">minimum of </w:delText>
        </w:r>
      </w:del>
      <w:del w:id="449"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on a daily basis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450" w:name="_Toc6912842"/>
      <w:bookmarkStart w:id="451" w:name="_Toc17375878"/>
      <w:r w:rsidRPr="005B146F">
        <w:rPr>
          <w:rFonts w:cs="Arial"/>
          <w:bCs/>
          <w:sz w:val="32"/>
          <w:szCs w:val="32"/>
        </w:rPr>
        <w:t>Day Matching (5-in-10 Residential Only, 10-in-10, and Combined)</w:t>
      </w:r>
      <w:bookmarkEnd w:id="450"/>
      <w:bookmarkEnd w:id="451"/>
    </w:p>
    <w:p w14:paraId="2A9766A8" w14:textId="77777777" w:rsidR="00C2548F" w:rsidRPr="00DC5AC7" w:rsidRDefault="000F3FEA" w:rsidP="0028415A">
      <w:pPr>
        <w:spacing w:after="240" w:line="300" w:lineRule="auto"/>
        <w:rPr>
          <w:rFonts w:cs="Arial"/>
        </w:rPr>
      </w:pPr>
      <w:r>
        <w:rPr>
          <w:rFonts w:cs="Arial"/>
        </w:rPr>
        <w:t>Pursuant to sections 4.13.4.1 and 4.13.4.4 of the tariff,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xml:space="preserve">.  The load patterns during a subset of non-event days are used to estimate the baseline for the event day.  At total of 13 day matching baselines were evaluated to determine the most accurate and precise of the 13.There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77777777"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r w:rsidRPr="00F32F59">
        <w:rPr>
          <w:rFonts w:cs="Arial"/>
        </w:rPr>
        <w:t>10 day matching.  Residential can use both 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452"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45 day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t>Keep the last</w:t>
      </w:r>
      <w:r w:rsidR="004B6235" w:rsidRPr="00997B05">
        <w:rPr>
          <w:rFonts w:cs="Arial"/>
        </w:rPr>
        <w:t xml:space="preserve"> 10 eligible calendar days.</w:t>
      </w:r>
    </w:p>
    <w:p w14:paraId="3D082C10" w14:textId="2723963A" w:rsidR="00567681" w:rsidRDefault="004B6235" w:rsidP="0028415A">
      <w:pPr>
        <w:pStyle w:val="ListParagraph"/>
        <w:numPr>
          <w:ilvl w:val="0"/>
          <w:numId w:val="49"/>
        </w:numPr>
        <w:spacing w:after="240"/>
        <w:jc w:val="left"/>
        <w:rPr>
          <w:ins w:id="453"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ins w:id="454"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455" w:author="Sok, Pia" w:date="2019-08-22T08:07:00Z"/>
          <w:rFonts w:cs="Arial"/>
        </w:rPr>
        <w:pPrChange w:id="456" w:author="Gilbert, Anja" w:date="2019-08-13T08:33:00Z">
          <w:pPr>
            <w:pStyle w:val="ListParagraph"/>
            <w:numPr>
              <w:numId w:val="49"/>
            </w:numPr>
            <w:spacing w:after="240"/>
            <w:ind w:hanging="360"/>
            <w:jc w:val="left"/>
          </w:pPr>
        </w:pPrChange>
      </w:pPr>
      <w:ins w:id="457" w:author="Gilbert, Anja" w:date="2019-08-13T08:33:00Z">
        <w:del w:id="458"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459"/>
          </w:r>
        </w:del>
      </w:ins>
      <w:del w:id="460" w:author="Sok, Pia" w:date="2019-08-22T08:07:00Z">
        <w:r w:rsidR="00E65887" w:rsidDel="00F10DAA">
          <w:rPr>
            <w:rStyle w:val="CommentReference"/>
          </w:rPr>
          <w:commentReference w:id="461"/>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462" w:author="Sok, Pia" w:date="2019-08-20T13:39:00Z">
        <w:r w:rsidR="00E65887">
          <w:rPr>
            <w:rFonts w:cs="Arial"/>
          </w:rPr>
          <w:t xml:space="preserve"> </w:t>
        </w:r>
      </w:ins>
      <w:ins w:id="463"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464"/>
      <w:commentRangeStart w:id="465"/>
      <w:del w:id="466" w:author="Sok, Pia" w:date="2019-08-22T08:30:00Z">
        <w:r w:rsidRPr="00FF66B8" w:rsidDel="006B7F2C">
          <w:rPr>
            <w:rFonts w:cs="Arial"/>
          </w:rPr>
          <w:delText xml:space="preserve">If the minimum number of days is not reached, </w:delText>
        </w:r>
      </w:del>
      <w:ins w:id="467" w:author="Sok, Pia" w:date="2019-08-22T08:17:00Z">
        <w:r w:rsidR="00D84F68">
          <w:rPr>
            <w:rFonts w:cs="Arial"/>
          </w:rPr>
          <w:t xml:space="preserve">  I</w:t>
        </w:r>
        <w:r w:rsidR="006B7F2C">
          <w:rPr>
            <w:rFonts w:cs="Arial"/>
          </w:rPr>
          <w:t>f the target</w:t>
        </w:r>
        <w:r w:rsidR="00D84F68">
          <w:rPr>
            <w:rFonts w:cs="Arial"/>
          </w:rPr>
          <w:t xml:space="preserve"> cannot be met, </w:t>
        </w:r>
      </w:ins>
      <w:ins w:id="468" w:author="Sok, Pia" w:date="2019-08-22T08:21:00Z">
        <w:r w:rsidR="00D84F68">
          <w:t xml:space="preserve">please see refer to </w:t>
        </w:r>
      </w:ins>
      <w:ins w:id="469" w:author="Sok, Pia" w:date="2019-08-22T08:22:00Z">
        <w:r w:rsidR="00D84F68">
          <w:t xml:space="preserve">ISO Tariff section 4.13.4.1.a.  </w:t>
        </w:r>
      </w:ins>
      <w:del w:id="470"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464"/>
        <w:r w:rsidR="00736460" w:rsidDel="00F10DAA">
          <w:rPr>
            <w:rStyle w:val="CommentReference"/>
          </w:rPr>
          <w:commentReference w:id="464"/>
        </w:r>
        <w:commentRangeEnd w:id="465"/>
        <w:r w:rsidR="00E65887" w:rsidDel="00F10DAA">
          <w:rPr>
            <w:rStyle w:val="CommentReference"/>
          </w:rPr>
          <w:commentReference w:id="465"/>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r w:rsidRPr="00997B05">
        <w:rPr>
          <w:rFonts w:cs="Arial"/>
        </w:rPr>
        <w:t xml:space="preserve">Adjustment hours are two hours immediately prior to the event period with a two hours buffer before and two hours after the event with a two hours buffer.   </w:t>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471"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472" w:author="Chiu, Randy" w:date="2019-08-13T16:59:00Z"/>
          <w:rFonts w:cs="Arial"/>
        </w:rPr>
        <w:pPrChange w:id="473"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474"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475" w:author="Gilbert, Anja" w:date="2019-08-13T09:12:00Z">
          <w:pPr>
            <w:pStyle w:val="ListParagraph"/>
            <w:numPr>
              <w:ilvl w:val="1"/>
              <w:numId w:val="51"/>
            </w:numPr>
            <w:spacing w:after="240"/>
            <w:ind w:left="1440" w:hanging="360"/>
            <w:jc w:val="left"/>
          </w:pPr>
        </w:pPrChange>
      </w:pPr>
      <w:r>
        <w:rPr>
          <w:rFonts w:cs="Arial"/>
        </w:rPr>
        <w:t>Example, if there was an event on 9/10/2015 at hour ending 17 to hour ending 19, then you would average hour end 17 to hour ending 19 for each day.</w:t>
      </w:r>
    </w:p>
    <w:p w14:paraId="722A9E4D" w14:textId="77777777" w:rsidR="0026706D" w:rsidRPr="00943ED7" w:rsidRDefault="0026706D" w:rsidP="0028415A">
      <w:pPr>
        <w:pStyle w:val="ListParagraph"/>
        <w:numPr>
          <w:ilvl w:val="1"/>
          <w:numId w:val="51"/>
        </w:numPr>
        <w:spacing w:after="240"/>
        <w:jc w:val="left"/>
        <w:rPr>
          <w:rFonts w:cs="Arial"/>
        </w:rPr>
      </w:pPr>
      <w:r>
        <w:rPr>
          <w:rFonts w:cs="Arial"/>
        </w:rPr>
        <w:t xml:space="preserve">Remove any days that occur </w:t>
      </w:r>
      <w:r w:rsidRPr="00FD2C91">
        <w:rPr>
          <w:rFonts w:cs="Arial"/>
          <w:u w:val="single"/>
        </w:rPr>
        <w:t>after</w:t>
      </w:r>
      <w:r>
        <w:rPr>
          <w:rFonts w:cs="Arial"/>
        </w:rPr>
        <w:t xml:space="preserve"> the event day for which the baseline is being calculated. </w:t>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eligible days (excluding weekends and holidays</w:t>
      </w:r>
      <w:r w:rsidR="00FE19C5" w:rsidRPr="00FE19C5">
        <w:t xml:space="preserve"> </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476"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477"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478"/>
      <w:commentRangeStart w:id="479"/>
      <w:r>
        <w:rPr>
          <w:rFonts w:cs="Arial"/>
        </w:rPr>
        <w:t xml:space="preserve">Keep the last </w:t>
      </w:r>
      <w:ins w:id="480" w:author="Sok, Pia" w:date="2019-08-22T08:37:00Z">
        <w:r w:rsidR="006B7F2C">
          <w:rPr>
            <w:rFonts w:cs="Arial"/>
          </w:rPr>
          <w:t>5</w:t>
        </w:r>
      </w:ins>
      <w:del w:id="481"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478"/>
      <w:r w:rsidR="00281073">
        <w:rPr>
          <w:rStyle w:val="CommentReference"/>
        </w:rPr>
        <w:commentReference w:id="478"/>
      </w:r>
      <w:commentRangeEnd w:id="479"/>
      <w:r w:rsidR="00E65887">
        <w:rPr>
          <w:rStyle w:val="CommentReference"/>
        </w:rPr>
        <w:commentReference w:id="479"/>
      </w:r>
      <w:r>
        <w:rPr>
          <w:rFonts w:cs="Arial"/>
        </w:rPr>
        <w:t>.</w:t>
      </w:r>
      <w:r w:rsidR="00C2548F" w:rsidRPr="00C70640">
        <w:rPr>
          <w:rFonts w:cs="Arial"/>
        </w:rPr>
        <w:t xml:space="preserve"> </w:t>
      </w:r>
      <w:r>
        <w:rPr>
          <w:rFonts w:cs="Arial"/>
        </w:rPr>
        <w:t>Sort</w:t>
      </w:r>
      <w:r w:rsidRPr="00C70640">
        <w:rPr>
          <w:rFonts w:cs="Arial"/>
        </w:rPr>
        <w:t xml:space="preserve"> by the average event load in decreasing order, and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482" w:author="Chiu, Randy" w:date="2019-08-13T16:45:00Z">
        <w:r w:rsidDel="006C2091">
          <w:rPr>
            <w:rFonts w:cs="Arial"/>
          </w:rPr>
          <w:delText>Calculate same-day adjustment</w:delText>
        </w:r>
      </w:del>
      <w:commentRangeStart w:id="483"/>
      <w:commentRangeStart w:id="484"/>
      <w:ins w:id="485" w:author="Chiu, Randy" w:date="2019-08-13T16:45:00Z">
        <w:r w:rsidR="006C2091">
          <w:rPr>
            <w:rFonts w:cs="Arial"/>
          </w:rPr>
          <w:t xml:space="preserve">Application of </w:t>
        </w:r>
      </w:ins>
      <w:ins w:id="486" w:author="Chiu, Randy" w:date="2019-08-13T17:00:00Z">
        <w:r w:rsidR="007F55CE">
          <w:rPr>
            <w:rFonts w:cs="Arial"/>
          </w:rPr>
          <w:t>w</w:t>
        </w:r>
      </w:ins>
      <w:ins w:id="487" w:author="Chiu, Randy" w:date="2019-08-13T16:45:00Z">
        <w:r w:rsidR="006C2091">
          <w:rPr>
            <w:rFonts w:cs="Arial"/>
          </w:rPr>
          <w:t>eights</w:t>
        </w:r>
        <w:commentRangeEnd w:id="483"/>
        <w:r w:rsidR="00CB7D02">
          <w:rPr>
            <w:rStyle w:val="CommentReference"/>
          </w:rPr>
          <w:commentReference w:id="483"/>
        </w:r>
      </w:ins>
      <w:commentRangeEnd w:id="484"/>
      <w:r w:rsidR="00FC23FC">
        <w:rPr>
          <w:rStyle w:val="CommentReference"/>
        </w:rPr>
        <w:commentReference w:id="484"/>
      </w:r>
      <w:ins w:id="488" w:author="Chiu, Randy" w:date="2019-08-13T17:00:00Z">
        <w:r w:rsidR="007F55CE">
          <w:rPr>
            <w:rFonts w:cs="Arial"/>
          </w:rPr>
          <w:t xml:space="preserve"> to baseline days</w:t>
        </w:r>
      </w:ins>
    </w:p>
    <w:p w14:paraId="6B0FB5CE" w14:textId="77777777" w:rsidR="00826AAC" w:rsidRPr="00943ED7" w:rsidRDefault="00CA0723" w:rsidP="0028415A">
      <w:pPr>
        <w:pStyle w:val="ListParagraph"/>
        <w:numPr>
          <w:ilvl w:val="1"/>
          <w:numId w:val="54"/>
        </w:numPr>
        <w:spacing w:after="240"/>
        <w:jc w:val="left"/>
        <w:rPr>
          <w:rFonts w:cs="Arial"/>
        </w:rPr>
      </w:pPr>
      <w:r>
        <w:rPr>
          <w:rFonts w:cs="Arial"/>
        </w:rPr>
        <w:t>W</w:t>
      </w:r>
      <w:r w:rsidRPr="00A10CF7">
        <w:rPr>
          <w:rFonts w:cs="Arial"/>
        </w:rPr>
        <w:t>eighted</w:t>
      </w:r>
      <w:r>
        <w:rPr>
          <w:rFonts w:cs="Arial"/>
        </w:rPr>
        <w:t xml:space="preserve"> average.  </w:t>
      </w:r>
      <w:r w:rsidRPr="00BA20D6">
        <w:rPr>
          <w:rFonts w:cs="Arial"/>
        </w:rPr>
        <w:t xml:space="preserve">The closest day to the baseline receives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489"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490" w:author="Chiu, Randy" w:date="2019-08-13T16:47:00Z"/>
          <w:rFonts w:cs="Arial"/>
        </w:rPr>
      </w:pPr>
      <w:commentRangeStart w:id="491"/>
      <w:commentRangeStart w:id="492"/>
      <w:ins w:id="493"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494" w:author="Chiu, Randy" w:date="2019-08-13T16:47:00Z"/>
          <w:rFonts w:cs="Arial"/>
        </w:rPr>
      </w:pPr>
      <w:ins w:id="495"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496" w:author="Chiu, Randy" w:date="2019-08-13T16:46:00Z"/>
          <w:rFonts w:cs="Arial"/>
        </w:rPr>
        <w:pPrChange w:id="497" w:author="Chiu, Randy" w:date="2019-08-13T16:47:00Z">
          <w:pPr>
            <w:pStyle w:val="ListParagraph"/>
            <w:numPr>
              <w:numId w:val="54"/>
            </w:numPr>
            <w:spacing w:after="240"/>
            <w:ind w:hanging="360"/>
            <w:jc w:val="left"/>
          </w:pPr>
        </w:pPrChange>
      </w:pPr>
      <w:ins w:id="498" w:author="Chiu, Randy" w:date="2019-08-13T16:47:00Z">
        <w:r w:rsidRPr="00CB7D02">
          <w:rPr>
            <w:rFonts w:cs="Arial"/>
          </w:rPr>
          <w:t>Average across those four (4) hours for both the baseline and the date the event was observed.</w:t>
        </w:r>
        <w:commentRangeEnd w:id="491"/>
        <w:r>
          <w:rPr>
            <w:rStyle w:val="CommentReference"/>
          </w:rPr>
          <w:commentReference w:id="491"/>
        </w:r>
      </w:ins>
      <w:commentRangeEnd w:id="492"/>
      <w:r w:rsidR="00D57655">
        <w:rPr>
          <w:rStyle w:val="CommentReference"/>
        </w:rPr>
        <w:commentReference w:id="492"/>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432DD227" w14:textId="77777777" w:rsidR="00046D25" w:rsidRDefault="00046D25" w:rsidP="00E36F6E">
      <w:pPr>
        <w:rPr>
          <w:ins w:id="499" w:author="Sok, Pia" w:date="2019-08-22T09:13:00Z"/>
          <w:rFonts w:cs="Arial"/>
          <w:b/>
          <w:sz w:val="32"/>
          <w:szCs w:val="32"/>
        </w:rPr>
      </w:pPr>
    </w:p>
    <w:p w14:paraId="6B08D3C0" w14:textId="77777777" w:rsidR="00046D25" w:rsidRDefault="00046D25" w:rsidP="00E36F6E">
      <w:pPr>
        <w:rPr>
          <w:ins w:id="500" w:author="Sok, Pia" w:date="2019-08-22T09:13:00Z"/>
          <w:rFonts w:cs="Arial"/>
          <w:b/>
          <w:sz w:val="32"/>
          <w:szCs w:val="32"/>
        </w:rPr>
      </w:pPr>
    </w:p>
    <w:p w14:paraId="7ED683F2" w14:textId="77777777" w:rsidR="00046D25" w:rsidRDefault="00046D25" w:rsidP="00E36F6E">
      <w:pPr>
        <w:rPr>
          <w:ins w:id="501" w:author="Sok, Pia" w:date="2019-08-22T09:13:00Z"/>
          <w:rFonts w:cs="Arial"/>
          <w:b/>
          <w:sz w:val="32"/>
          <w:szCs w:val="32"/>
        </w:rPr>
      </w:pPr>
    </w:p>
    <w:p w14:paraId="6F55E444" w14:textId="77777777" w:rsidR="00046D25" w:rsidRDefault="00046D25" w:rsidP="00E36F6E">
      <w:pPr>
        <w:rPr>
          <w:ins w:id="502" w:author="Sok, Pia" w:date="2019-08-22T09:13:00Z"/>
          <w:rFonts w:cs="Arial"/>
          <w:b/>
          <w:sz w:val="32"/>
          <w:szCs w:val="32"/>
        </w:rPr>
      </w:pPr>
    </w:p>
    <w:p w14:paraId="56A87C9A" w14:textId="77777777" w:rsidR="00046D25" w:rsidRDefault="00046D25" w:rsidP="00E36F6E">
      <w:pPr>
        <w:rPr>
          <w:ins w:id="503" w:author="Sok, Pia" w:date="2019-08-22T09:13:00Z"/>
          <w:rFonts w:cs="Arial"/>
          <w:b/>
          <w:sz w:val="32"/>
          <w:szCs w:val="32"/>
        </w:rPr>
      </w:pPr>
    </w:p>
    <w:p w14:paraId="485D6586" w14:textId="77777777" w:rsidR="00046D25" w:rsidRDefault="00046D25" w:rsidP="00E36F6E">
      <w:pPr>
        <w:rPr>
          <w:ins w:id="504" w:author="Sok, Pia" w:date="2019-08-22T09:13:00Z"/>
          <w:rFonts w:cs="Arial"/>
          <w:b/>
          <w:sz w:val="32"/>
          <w:szCs w:val="32"/>
        </w:rPr>
      </w:pPr>
    </w:p>
    <w:p w14:paraId="5974D291" w14:textId="77777777" w:rsidR="00046D25" w:rsidRDefault="00046D25" w:rsidP="00E36F6E">
      <w:pPr>
        <w:rPr>
          <w:ins w:id="505" w:author="Sok, Pia" w:date="2019-08-22T09:13:00Z"/>
          <w:rFonts w:cs="Arial"/>
          <w:b/>
          <w:sz w:val="32"/>
          <w:szCs w:val="32"/>
        </w:rPr>
      </w:pPr>
    </w:p>
    <w:p w14:paraId="63F2862D" w14:textId="77777777" w:rsidR="00046D25" w:rsidRDefault="00046D25" w:rsidP="00E36F6E">
      <w:pPr>
        <w:rPr>
          <w:ins w:id="506" w:author="Sok, Pia" w:date="2019-08-22T09:14:00Z"/>
          <w:rFonts w:cs="Arial"/>
          <w:b/>
          <w:sz w:val="32"/>
          <w:szCs w:val="32"/>
        </w:rPr>
      </w:pPr>
    </w:p>
    <w:p w14:paraId="5FB06306" w14:textId="77777777" w:rsidR="00046D25" w:rsidRDefault="00046D25" w:rsidP="00E36F6E">
      <w:pPr>
        <w:rPr>
          <w:ins w:id="507"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508" w:author="Sok, Pia" w:date="2019-08-22T08:38:00Z"/>
          <w:rFonts w:cs="Arial"/>
          <w:bCs/>
          <w:sz w:val="32"/>
          <w:szCs w:val="32"/>
        </w:rPr>
      </w:pPr>
      <w:bookmarkStart w:id="509" w:name="_Toc6912843"/>
      <w:bookmarkStart w:id="510" w:name="_Toc17375879"/>
      <w:r w:rsidRPr="005B146F">
        <w:rPr>
          <w:rFonts w:cs="Arial"/>
          <w:bCs/>
          <w:sz w:val="32"/>
          <w:szCs w:val="32"/>
        </w:rPr>
        <w:t>Weather Matching</w:t>
      </w:r>
      <w:bookmarkEnd w:id="509"/>
      <w:bookmarkEnd w:id="510"/>
    </w:p>
    <w:p w14:paraId="010B1A81" w14:textId="184C9C5E" w:rsidR="006B7F2C" w:rsidRPr="006B7F2C" w:rsidRDefault="006B7F2C">
      <w:pPr>
        <w:pStyle w:val="ParaText"/>
        <w:rPr>
          <w:b/>
          <w:i/>
          <w:rPrChange w:id="511" w:author="Sok, Pia" w:date="2019-08-22T08:38:00Z">
            <w:rPr>
              <w:rFonts w:cs="Arial"/>
              <w:b w:val="0"/>
              <w:bCs/>
              <w:sz w:val="32"/>
              <w:szCs w:val="32"/>
            </w:rPr>
          </w:rPrChange>
        </w:rPr>
        <w:pPrChange w:id="512" w:author="Sok, Pia" w:date="2019-08-22T08:38:00Z">
          <w:pPr>
            <w:pStyle w:val="Heading2"/>
          </w:pPr>
        </w:pPrChange>
      </w:pPr>
      <w:ins w:id="513"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Should the size of the population increase or decrease over time, the sample fraction must be re</w:t>
      </w:r>
      <w:r>
        <w:t>-</w:t>
      </w:r>
      <w:r w:rsidRPr="00DA4758">
        <w:t xml:space="preserve">evaluated and the sample size adjusted accordingly.  </w:t>
      </w:r>
    </w:p>
    <w:p w14:paraId="1F4315A2" w14:textId="77777777" w:rsidR="00C2548F" w:rsidRPr="00F32F59" w:rsidDel="00046D25" w:rsidRDefault="00C2548F" w:rsidP="0028415A">
      <w:pPr>
        <w:spacing w:after="240"/>
        <w:rPr>
          <w:del w:id="514"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515" w:author="Sok, Pia" w:date="2019-08-22T09:14:00Z"/>
          <w:rFonts w:cs="Arial"/>
        </w:rPr>
      </w:pPr>
    </w:p>
    <w:p w14:paraId="32635098" w14:textId="77777777" w:rsidR="00891CD8" w:rsidDel="00046D25" w:rsidRDefault="00891CD8" w:rsidP="0028415A">
      <w:pPr>
        <w:pStyle w:val="ParaText"/>
        <w:rPr>
          <w:del w:id="516" w:author="Sok, Pia" w:date="2019-08-22T09:14:00Z"/>
          <w:rFonts w:cs="Arial"/>
        </w:rPr>
      </w:pPr>
    </w:p>
    <w:p w14:paraId="27179E54" w14:textId="77777777" w:rsidR="00891CD8" w:rsidRDefault="00891CD8">
      <w:pPr>
        <w:spacing w:after="240"/>
        <w:pPrChange w:id="517"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518" w:name="_Toc17375880"/>
      <w:r>
        <w:t>Approved Statis</w:t>
      </w:r>
      <w:r w:rsidR="006F5491">
        <w:t>t</w:t>
      </w:r>
      <w:r>
        <w:t>ical Sampling Methodology</w:t>
      </w:r>
      <w:bookmarkEnd w:id="518"/>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 xml:space="preserve">For day-ahead energy participation only, when hourly interval metering is installed at all underlying resource locations but RQMD is not derived using the hourly interval meter data for settlement purposes, but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519" w:name="_Toc469404883"/>
      <w:bookmarkStart w:id="520" w:name="_Toc6912832"/>
      <w:r>
        <w:rPr>
          <w:rFonts w:cs="Arial"/>
        </w:rPr>
        <w:t>Virtual SQMD Calculation</w:t>
      </w:r>
      <w:bookmarkEnd w:id="519"/>
      <w:bookmarkEnd w:id="520"/>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A018E8" w:rsidP="00212DA7">
      <w:pPr>
        <w:rPr>
          <w:sz w:val="28"/>
          <w:szCs w:val="28"/>
        </w:rPr>
      </w:pPr>
      <m:oMathPara>
        <m:oMath>
          <m:sSub>
            <m:sSubPr>
              <m:ctrlPr>
                <w:ins w:id="521" w:author="Sok, Pia" w:date="2019-05-15T09:03:00Z">
                  <w:rPr>
                    <w:rFonts w:ascii="Cambria Math" w:hAnsi="Cambria Math"/>
                    <w:i/>
                    <w:sz w:val="28"/>
                    <w:szCs w:val="28"/>
                  </w:rPr>
                </w:ins>
              </m:ctrlPr>
            </m:sSubPr>
            <m:e>
              <m:r>
                <w:ins w:id="522" w:author="Sok, Pia" w:date="2019-05-15T09:03:00Z">
                  <w:rPr>
                    <w:rFonts w:ascii="Cambria Math" w:hAnsi="Cambria Math"/>
                    <w:sz w:val="28"/>
                    <w:szCs w:val="28"/>
                  </w:rPr>
                  <m:t>m</m:t>
                </w:ins>
              </m:r>
            </m:e>
            <m:sub>
              <m:r>
                <w:ins w:id="523" w:author="Sok, Pia" w:date="2019-05-15T09:03:00Z">
                  <w:rPr>
                    <w:rFonts w:ascii="Cambria Math" w:hAnsi="Cambria Math"/>
                    <w:sz w:val="28"/>
                    <w:szCs w:val="28"/>
                  </w:rPr>
                  <m:t>VIRTUAL</m:t>
                </w:ins>
              </m:r>
            </m:sub>
          </m:sSub>
          <m:r>
            <w:ins w:id="524" w:author="Sok, Pia" w:date="2019-05-15T09:03:00Z">
              <w:rPr>
                <w:rFonts w:ascii="Cambria Math" w:hAnsi="Cambria Math"/>
                <w:sz w:val="28"/>
                <w:szCs w:val="28"/>
              </w:rPr>
              <m:t>=</m:t>
            </w:ins>
          </m:r>
          <m:f>
            <m:fPr>
              <m:ctrlPr>
                <w:ins w:id="525" w:author="Sok, Pia" w:date="2019-05-15T09:03:00Z">
                  <w:rPr>
                    <w:rFonts w:ascii="Cambria Math" w:hAnsi="Cambria Math"/>
                    <w:i/>
                    <w:sz w:val="28"/>
                    <w:szCs w:val="28"/>
                  </w:rPr>
                </w:ins>
              </m:ctrlPr>
            </m:fPr>
            <m:num>
              <m:r>
                <w:ins w:id="526" w:author="Sok, Pia" w:date="2019-05-15T09:03:00Z">
                  <w:rPr>
                    <w:rFonts w:ascii="Cambria Math" w:hAnsi="Cambria Math"/>
                    <w:sz w:val="28"/>
                    <w:szCs w:val="28"/>
                  </w:rPr>
                  <m:t>N</m:t>
                </w:ins>
              </m:r>
            </m:num>
            <m:den>
              <m:r>
                <w:ins w:id="527" w:author="Sok, Pia" w:date="2019-05-15T09:03:00Z">
                  <w:rPr>
                    <w:rFonts w:ascii="Cambria Math" w:hAnsi="Cambria Math"/>
                    <w:sz w:val="28"/>
                    <w:szCs w:val="28"/>
                  </w:rPr>
                  <m:t>n</m:t>
                </w:ins>
              </m:r>
            </m:den>
          </m:f>
          <m:r>
            <w:ins w:id="528" w:author="Sok, Pia" w:date="2019-05-15T09:03:00Z">
              <w:rPr>
                <w:rFonts w:ascii="Cambria Math" w:hAnsi="Cambria Math"/>
                <w:sz w:val="28"/>
                <w:szCs w:val="28"/>
              </w:rPr>
              <m:t>∙</m:t>
            </w:ins>
          </m:r>
          <m:nary>
            <m:naryPr>
              <m:chr m:val="∑"/>
              <m:limLoc m:val="undOvr"/>
              <m:ctrlPr>
                <w:ins w:id="529" w:author="Sok, Pia" w:date="2019-05-15T09:03:00Z">
                  <w:rPr>
                    <w:rFonts w:ascii="Cambria Math" w:hAnsi="Cambria Math"/>
                    <w:i/>
                    <w:sz w:val="28"/>
                    <w:szCs w:val="28"/>
                  </w:rPr>
                </w:ins>
              </m:ctrlPr>
            </m:naryPr>
            <m:sub>
              <m:r>
                <w:ins w:id="530" w:author="Sok, Pia" w:date="2019-05-15T09:03:00Z">
                  <w:rPr>
                    <w:rFonts w:ascii="Cambria Math" w:hAnsi="Cambria Math"/>
                    <w:sz w:val="28"/>
                    <w:szCs w:val="28"/>
                  </w:rPr>
                  <m:t>i=1</m:t>
                </w:ins>
              </m:r>
            </m:sub>
            <m:sup>
              <m:r>
                <w:ins w:id="531" w:author="Sok, Pia" w:date="2019-05-15T09:03:00Z">
                  <w:rPr>
                    <w:rFonts w:ascii="Cambria Math" w:hAnsi="Cambria Math"/>
                    <w:sz w:val="28"/>
                    <w:szCs w:val="28"/>
                  </w:rPr>
                  <m:t>n</m:t>
                </w:ins>
              </m:r>
            </m:sup>
            <m:e>
              <m:sSub>
                <m:sSubPr>
                  <m:ctrlPr>
                    <w:ins w:id="532" w:author="Sok, Pia" w:date="2019-05-15T09:03:00Z">
                      <w:rPr>
                        <w:rFonts w:ascii="Cambria Math" w:hAnsi="Cambria Math"/>
                        <w:i/>
                        <w:sz w:val="28"/>
                        <w:szCs w:val="28"/>
                      </w:rPr>
                    </w:ins>
                  </m:ctrlPr>
                </m:sSubPr>
                <m:e>
                  <m:r>
                    <w:ins w:id="533" w:author="Sok, Pia" w:date="2019-05-15T09:03:00Z">
                      <w:rPr>
                        <w:rFonts w:ascii="Cambria Math" w:hAnsi="Cambria Math"/>
                        <w:sz w:val="28"/>
                        <w:szCs w:val="28"/>
                      </w:rPr>
                      <m:t>m</m:t>
                    </w:ins>
                  </m:r>
                </m:e>
                <m:sub>
                  <m:r>
                    <w:ins w:id="534"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535"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536" w:author="Sok, Pia" w:date="2019-05-15T09:03:00Z">
              <w:rPr>
                <w:rFonts w:ascii="Cambria Math" w:hAnsi="Cambria Math"/>
                <w:sz w:val="28"/>
                <w:szCs w:val="28"/>
              </w:rPr>
              <m:t>n=Number of Metered Locations</m:t>
            </w:ins>
          </m:r>
        </m:oMath>
      </m:oMathPara>
    </w:p>
    <w:p w14:paraId="378F7026" w14:textId="37D84F24" w:rsidR="00212DA7" w:rsidRPr="0057156B" w:rsidRDefault="00A018E8" w:rsidP="00212DA7">
      <w:pPr>
        <w:ind w:left="1440" w:firstLine="720"/>
        <w:rPr>
          <w:sz w:val="28"/>
          <w:szCs w:val="28"/>
        </w:rPr>
      </w:pPr>
      <m:oMathPara>
        <m:oMathParaPr>
          <m:jc m:val="left"/>
        </m:oMathParaPr>
        <m:oMath>
          <m:sSub>
            <m:sSubPr>
              <m:ctrlPr>
                <w:ins w:id="537" w:author="Sok, Pia" w:date="2019-05-15T09:03:00Z">
                  <w:rPr>
                    <w:rFonts w:ascii="Cambria Math" w:hAnsi="Cambria Math"/>
                    <w:i/>
                    <w:sz w:val="28"/>
                    <w:szCs w:val="28"/>
                  </w:rPr>
                </w:ins>
              </m:ctrlPr>
            </m:sSubPr>
            <m:e>
              <m:r>
                <w:ins w:id="538" w:author="Sok, Pia" w:date="2019-05-15T09:03:00Z">
                  <w:rPr>
                    <w:rFonts w:ascii="Cambria Math" w:hAnsi="Cambria Math"/>
                    <w:sz w:val="28"/>
                    <w:szCs w:val="28"/>
                  </w:rPr>
                  <m:t>m</m:t>
                </w:ins>
              </m:r>
            </m:e>
            <m:sub>
              <m:r>
                <w:ins w:id="539" w:author="Sok, Pia" w:date="2019-05-15T09:03:00Z">
                  <w:rPr>
                    <w:rFonts w:ascii="Cambria Math" w:hAnsi="Cambria Math"/>
                    <w:sz w:val="28"/>
                    <w:szCs w:val="28"/>
                  </w:rPr>
                  <m:t>i</m:t>
                </w:ins>
              </m:r>
            </m:sub>
          </m:sSub>
          <m:r>
            <w:ins w:id="540"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541"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542" w:name="_Toc469404884"/>
      <w:bookmarkStart w:id="543" w:name="_Toc6912833"/>
      <w:r>
        <w:rPr>
          <w:rFonts w:cs="Arial"/>
        </w:rPr>
        <w:t>Sample Size Determination</w:t>
      </w:r>
      <w:bookmarkEnd w:id="542"/>
      <w:bookmarkEnd w:id="543"/>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544" w:author="Sok, Pia" w:date="2019-05-15T09:03:00Z">
              <w:rPr>
                <w:rFonts w:ascii="Cambria Math" w:hAnsi="Cambria Math"/>
                <w:sz w:val="28"/>
                <w:szCs w:val="28"/>
              </w:rPr>
              <m:t xml:space="preserve">n'= </m:t>
            </w:ins>
          </m:r>
          <m:sSup>
            <m:sSupPr>
              <m:ctrlPr>
                <w:ins w:id="545" w:author="Sok, Pia" w:date="2019-05-15T09:03:00Z">
                  <w:rPr>
                    <w:rFonts w:ascii="Cambria Math" w:hAnsi="Cambria Math"/>
                    <w:i/>
                    <w:sz w:val="28"/>
                    <w:szCs w:val="28"/>
                  </w:rPr>
                </w:ins>
              </m:ctrlPr>
            </m:sSupPr>
            <m:e>
              <m:d>
                <m:dPr>
                  <m:ctrlPr>
                    <w:ins w:id="546" w:author="Sok, Pia" w:date="2019-05-15T09:03:00Z">
                      <w:rPr>
                        <w:rFonts w:ascii="Cambria Math" w:hAnsi="Cambria Math"/>
                        <w:i/>
                        <w:sz w:val="28"/>
                        <w:szCs w:val="28"/>
                      </w:rPr>
                    </w:ins>
                  </m:ctrlPr>
                </m:dPr>
                <m:e>
                  <m:f>
                    <m:fPr>
                      <m:ctrlPr>
                        <w:ins w:id="547" w:author="Sok, Pia" w:date="2019-05-15T09:03:00Z">
                          <w:rPr>
                            <w:rFonts w:ascii="Cambria Math" w:hAnsi="Cambria Math"/>
                            <w:i/>
                            <w:sz w:val="28"/>
                            <w:szCs w:val="28"/>
                          </w:rPr>
                        </w:ins>
                      </m:ctrlPr>
                    </m:fPr>
                    <m:num>
                      <m:r>
                        <w:ins w:id="548" w:author="Sok, Pia" w:date="2019-05-15T09:03:00Z">
                          <w:rPr>
                            <w:rFonts w:ascii="Cambria Math" w:hAnsi="Cambria Math"/>
                            <w:sz w:val="28"/>
                            <w:szCs w:val="28"/>
                          </w:rPr>
                          <m:t>z</m:t>
                        </w:ins>
                      </m:r>
                    </m:num>
                    <m:den>
                      <m:sSub>
                        <m:sSubPr>
                          <m:ctrlPr>
                            <w:ins w:id="549" w:author="Sok, Pia" w:date="2019-05-15T09:03:00Z">
                              <w:rPr>
                                <w:rFonts w:ascii="Cambria Math" w:hAnsi="Cambria Math"/>
                                <w:i/>
                                <w:sz w:val="28"/>
                                <w:szCs w:val="28"/>
                              </w:rPr>
                            </w:ins>
                          </m:ctrlPr>
                        </m:sSubPr>
                        <m:e>
                          <m:r>
                            <w:ins w:id="550" w:author="Sok, Pia" w:date="2019-05-15T09:03:00Z">
                              <w:rPr>
                                <w:rFonts w:ascii="Cambria Math" w:hAnsi="Cambria Math"/>
                                <w:sz w:val="28"/>
                                <w:szCs w:val="28"/>
                              </w:rPr>
                              <m:t>e</m:t>
                            </w:ins>
                          </m:r>
                        </m:e>
                        <m:sub>
                          <m:r>
                            <w:ins w:id="551" w:author="Sok, Pia" w:date="2019-05-15T09:03:00Z">
                              <w:rPr>
                                <w:rFonts w:ascii="Cambria Math" w:hAnsi="Cambria Math"/>
                                <w:sz w:val="28"/>
                                <w:szCs w:val="28"/>
                              </w:rPr>
                              <m:t>REL</m:t>
                            </w:ins>
                          </m:r>
                        </m:sub>
                      </m:sSub>
                    </m:den>
                  </m:f>
                </m:e>
              </m:d>
            </m:e>
            <m:sup>
              <m:r>
                <w:ins w:id="552" w:author="Sok, Pia" w:date="2019-05-15T09:03:00Z">
                  <w:rPr>
                    <w:rFonts w:ascii="Cambria Math" w:hAnsi="Cambria Math"/>
                    <w:sz w:val="28"/>
                    <w:szCs w:val="28"/>
                  </w:rPr>
                  <m:t>2</m:t>
                </w:ins>
              </m:r>
            </m:sup>
          </m:sSup>
          <m:r>
            <w:ins w:id="553" w:author="Sok, Pia" w:date="2019-05-15T09:03:00Z">
              <w:rPr>
                <w:rFonts w:ascii="Cambria Math" w:hAnsi="Cambria Math"/>
                <w:sz w:val="28"/>
                <w:szCs w:val="28"/>
              </w:rPr>
              <m:t>∙</m:t>
            </w:ins>
          </m:r>
          <m:d>
            <m:dPr>
              <m:ctrlPr>
                <w:ins w:id="554" w:author="Sok, Pia" w:date="2019-05-15T09:03:00Z">
                  <w:rPr>
                    <w:rFonts w:ascii="Cambria Math" w:hAnsi="Cambria Math"/>
                    <w:i/>
                    <w:sz w:val="28"/>
                    <w:szCs w:val="28"/>
                  </w:rPr>
                </w:ins>
              </m:ctrlPr>
            </m:dPr>
            <m:e>
              <m:f>
                <m:fPr>
                  <m:ctrlPr>
                    <w:ins w:id="555" w:author="Sok, Pia" w:date="2019-05-15T09:03:00Z">
                      <w:rPr>
                        <w:rFonts w:ascii="Cambria Math" w:hAnsi="Cambria Math"/>
                        <w:i/>
                        <w:sz w:val="28"/>
                        <w:szCs w:val="28"/>
                      </w:rPr>
                    </w:ins>
                  </m:ctrlPr>
                </m:fPr>
                <m:num>
                  <m:r>
                    <w:ins w:id="556" w:author="Sok, Pia" w:date="2019-05-15T09:03:00Z">
                      <w:rPr>
                        <w:rFonts w:ascii="Cambria Math" w:hAnsi="Cambria Math"/>
                        <w:sz w:val="28"/>
                        <w:szCs w:val="28"/>
                      </w:rPr>
                      <m:t>1-p</m:t>
                    </w:ins>
                  </m:r>
                </m:num>
                <m:den>
                  <m:r>
                    <w:ins w:id="557"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558" w:author="Sok, Pia" w:date="2019-05-15T09:03:00Z">
                <w:rPr>
                  <w:rFonts w:ascii="Cambria Math" w:hAnsi="Cambria Math"/>
                  <w:i/>
                  <w:sz w:val="28"/>
                  <w:szCs w:val="28"/>
                </w:rPr>
              </w:ins>
            </m:ctrlPr>
          </m:sSubPr>
          <m:e>
            <m:r>
              <w:ins w:id="559" w:author="Sok, Pia" w:date="2019-05-15T09:03:00Z">
                <w:rPr>
                  <w:rFonts w:ascii="Cambria Math" w:hAnsi="Cambria Math"/>
                  <w:sz w:val="28"/>
                  <w:szCs w:val="28"/>
                </w:rPr>
                <m:t>e</m:t>
              </w:ins>
            </m:r>
          </m:e>
          <m:sub>
            <m:r>
              <w:ins w:id="560" w:author="Sok, Pia" w:date="2019-05-15T09:03:00Z">
                <w:rPr>
                  <w:rFonts w:ascii="Cambria Math" w:hAnsi="Cambria Math"/>
                  <w:sz w:val="28"/>
                  <w:szCs w:val="28"/>
                </w:rPr>
                <m:t>REL</m:t>
              </w:ins>
            </m:r>
          </m:sub>
        </m:sSub>
        <m:r>
          <w:ins w:id="561"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562"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563"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A018E8" w:rsidP="00212DA7">
      <w:pPr>
        <w:jc w:val="center"/>
        <w:rPr>
          <w:sz w:val="28"/>
          <w:szCs w:val="28"/>
        </w:rPr>
      </w:pPr>
      <m:oMathPara>
        <m:oMath>
          <m:f>
            <m:fPr>
              <m:ctrlPr>
                <w:ins w:id="564" w:author="Sok, Pia" w:date="2019-05-15T09:03:00Z">
                  <w:rPr>
                    <w:rFonts w:ascii="Cambria Math" w:hAnsi="Cambria Math"/>
                    <w:i/>
                    <w:sz w:val="28"/>
                    <w:szCs w:val="28"/>
                  </w:rPr>
                </w:ins>
              </m:ctrlPr>
            </m:fPr>
            <m:num>
              <m:r>
                <w:ins w:id="565" w:author="Sok, Pia" w:date="2019-05-15T09:03:00Z">
                  <w:rPr>
                    <w:rFonts w:ascii="Cambria Math" w:hAnsi="Cambria Math"/>
                    <w:sz w:val="28"/>
                    <w:szCs w:val="28"/>
                  </w:rPr>
                  <m:t>n</m:t>
                </w:ins>
              </m:r>
            </m:num>
            <m:den>
              <m:r>
                <w:ins w:id="566" w:author="Sok, Pia" w:date="2019-05-15T09:03:00Z">
                  <w:rPr>
                    <w:rFonts w:ascii="Cambria Math" w:hAnsi="Cambria Math"/>
                    <w:sz w:val="28"/>
                    <w:szCs w:val="28"/>
                  </w:rPr>
                  <m:t>N</m:t>
                </w:ins>
              </m:r>
            </m:den>
          </m:f>
          <m:r>
            <w:ins w:id="567" w:author="Sok, Pia" w:date="2019-05-15T09:03:00Z">
              <w:rPr>
                <w:rFonts w:ascii="Cambria Math" w:hAnsi="Cambria Math"/>
                <w:sz w:val="28"/>
                <w:szCs w:val="28"/>
              </w:rPr>
              <m:t>=</m:t>
            </w:ins>
          </m:r>
          <m:f>
            <m:fPr>
              <m:ctrlPr>
                <w:ins w:id="568" w:author="Sok, Pia" w:date="2019-05-15T09:03:00Z">
                  <w:rPr>
                    <w:rFonts w:ascii="Cambria Math" w:hAnsi="Cambria Math"/>
                    <w:i/>
                    <w:sz w:val="28"/>
                    <w:szCs w:val="28"/>
                  </w:rPr>
                </w:ins>
              </m:ctrlPr>
            </m:fPr>
            <m:num>
              <m:r>
                <w:ins w:id="569" w:author="Sok, Pia" w:date="2019-05-15T09:03:00Z">
                  <w:rPr>
                    <w:rFonts w:ascii="Cambria Math" w:hAnsi="Cambria Math"/>
                    <w:sz w:val="28"/>
                    <w:szCs w:val="28"/>
                  </w:rPr>
                  <m:t>n'</m:t>
                </w:ins>
              </m:r>
            </m:num>
            <m:den>
              <m:r>
                <w:ins w:id="570"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similar to other ISOs and RTOs.  The sample size for an infinite population with these requirements is therefore</w:t>
      </w:r>
      <w:r w:rsidRPr="00212DA7">
        <w:rPr>
          <w:sz w:val="28"/>
          <w:szCs w:val="28"/>
        </w:rPr>
        <w:t xml:space="preserve">: </w:t>
      </w:r>
      <m:oMath>
        <m:r>
          <w:ins w:id="571" w:author="Sok, Pia" w:date="2019-05-15T09:03:00Z">
            <m:rPr>
              <m:sty m:val="b"/>
            </m:rPr>
            <w:rPr>
              <w:rFonts w:ascii="Cambria Math" w:hAnsi="Cambria Math"/>
              <w:sz w:val="28"/>
              <w:szCs w:val="28"/>
            </w:rPr>
            <m:t>n'=271</m:t>
          </w:ins>
        </m:r>
        <m:r>
          <w:ins w:id="572"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573" w:name="_Toc469404885"/>
      <w:bookmarkStart w:id="574" w:name="_Toc6912834"/>
      <w:r>
        <w:rPr>
          <w:rFonts w:cs="Arial"/>
        </w:rPr>
        <w:t>Minimum Sample Fractions</w:t>
      </w:r>
      <w:bookmarkEnd w:id="573"/>
      <w:bookmarkEnd w:id="574"/>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575" w:author="Sok, Pia" w:date="2019-05-15T09:03:00Z">
              <w:rPr>
                <w:rFonts w:ascii="Cambria Math" w:hAnsi="Cambria Math"/>
              </w:rPr>
              <m:t>f=</m:t>
            </w:ins>
          </m:r>
          <m:f>
            <m:fPr>
              <m:ctrlPr>
                <w:ins w:id="576" w:author="Sok, Pia" w:date="2019-05-15T09:03:00Z">
                  <w:rPr>
                    <w:rFonts w:ascii="Cambria Math" w:hAnsi="Cambria Math"/>
                    <w:i/>
                  </w:rPr>
                </w:ins>
              </m:ctrlPr>
            </m:fPr>
            <m:num>
              <m:r>
                <w:ins w:id="577" w:author="Sok, Pia" w:date="2019-05-15T09:03:00Z">
                  <w:rPr>
                    <w:rFonts w:ascii="Cambria Math" w:hAnsi="Cambria Math"/>
                  </w:rPr>
                  <m:t>n</m:t>
                </w:ins>
              </m:r>
            </m:num>
            <m:den>
              <m:r>
                <w:ins w:id="578" w:author="Sok, Pia" w:date="2019-05-15T09:03:00Z">
                  <w:rPr>
                    <w:rFonts w:ascii="Cambria Math" w:hAnsi="Cambria Math"/>
                  </w:rPr>
                  <m:t>N</m:t>
                </w:ins>
              </m:r>
            </m:den>
          </m:f>
          <m:r>
            <w:ins w:id="579" w:author="Sok, Pia" w:date="2019-05-15T09:03:00Z">
              <w:rPr>
                <w:rFonts w:ascii="Cambria Math" w:hAnsi="Cambria Math"/>
              </w:rPr>
              <m:t>=</m:t>
            </w:ins>
          </m:r>
          <m:f>
            <m:fPr>
              <m:ctrlPr>
                <w:ins w:id="580" w:author="Sok, Pia" w:date="2019-05-15T09:03:00Z">
                  <w:rPr>
                    <w:rFonts w:ascii="Cambria Math" w:hAnsi="Cambria Math"/>
                    <w:i/>
                  </w:rPr>
                </w:ins>
              </m:ctrlPr>
            </m:fPr>
            <m:num>
              <m:r>
                <w:ins w:id="581" w:author="Sok, Pia" w:date="2019-05-15T09:03:00Z">
                  <w:rPr>
                    <w:rFonts w:ascii="Cambria Math" w:hAnsi="Cambria Math"/>
                  </w:rPr>
                  <m:t>n'</m:t>
                </w:ins>
              </m:r>
            </m:num>
            <m:den>
              <m:r>
                <w:ins w:id="582" w:author="Sok, Pia" w:date="2019-05-15T09:03:00Z">
                  <w:rPr>
                    <w:rFonts w:ascii="Cambria Math" w:hAnsi="Cambria Math"/>
                  </w:rPr>
                  <m:t>N+n'</m:t>
                </w:ins>
              </m:r>
            </m:den>
          </m:f>
          <m:r>
            <w:ins w:id="583" w:author="Sok, Pia" w:date="2019-05-15T09:03:00Z">
              <w:rPr>
                <w:rFonts w:ascii="Cambria Math" w:hAnsi="Cambria Math"/>
              </w:rPr>
              <m:t>=</m:t>
            </w:ins>
          </m:r>
          <m:f>
            <m:fPr>
              <m:ctrlPr>
                <w:ins w:id="584" w:author="Sok, Pia" w:date="2019-05-15T09:03:00Z">
                  <w:rPr>
                    <w:rFonts w:ascii="Cambria Math" w:hAnsi="Cambria Math"/>
                    <w:i/>
                  </w:rPr>
                </w:ins>
              </m:ctrlPr>
            </m:fPr>
            <m:num>
              <m:r>
                <w:ins w:id="585" w:author="Sok, Pia" w:date="2019-05-15T09:03:00Z">
                  <w:rPr>
                    <w:rFonts w:ascii="Cambria Math" w:hAnsi="Cambria Math"/>
                  </w:rPr>
                  <m:t>271</m:t>
                </w:ins>
              </m:r>
            </m:num>
            <m:den>
              <m:r>
                <w:ins w:id="586"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The following table shows a number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587" w:name="_Toc17375881"/>
      <w:r w:rsidRPr="00FF66B8">
        <w:rPr>
          <w:szCs w:val="34"/>
        </w:rPr>
        <w:t>Resource Registration</w:t>
      </w:r>
      <w:bookmarkEnd w:id="587"/>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SubLAP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  A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SubLAP</w:t>
      </w:r>
      <w:r w:rsidRPr="00856536">
        <w:rPr>
          <w:rFonts w:cs="Arial"/>
        </w:rPr>
        <w:t xml:space="preserve"> using customized DRP identified Pricing Node(s) within a SubLAP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588" w:name="_Toc8830138"/>
      <w:bookmarkStart w:id="589" w:name="_Toc8831619"/>
      <w:bookmarkStart w:id="590" w:name="_Toc10024622"/>
      <w:bookmarkStart w:id="591" w:name="_Toc11325936"/>
      <w:bookmarkStart w:id="592" w:name="_Toc11325982"/>
      <w:bookmarkStart w:id="593" w:name="_Toc17375882"/>
      <w:bookmarkEnd w:id="588"/>
      <w:bookmarkEnd w:id="589"/>
      <w:bookmarkEnd w:id="590"/>
      <w:bookmarkEnd w:id="591"/>
      <w:bookmarkEnd w:id="592"/>
      <w:r w:rsidRPr="00FF66B8">
        <w:rPr>
          <w:szCs w:val="34"/>
        </w:rPr>
        <w:t>Generation Data Template Submission and Processing</w:t>
      </w:r>
      <w:bookmarkEnd w:id="593"/>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3"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4"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6 month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Instruction, and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All PDRs with no election will be defaulted to 5-minute.  SIBR will utilize the value from Master File, and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594" w:name="_Toc17375883"/>
      <w:r>
        <w:t>Net Qualifying Capacity (NQC) values for Resource Adequacy (RA)</w:t>
      </w:r>
      <w:bookmarkEnd w:id="594"/>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5"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595" w:name="_Toc17375884"/>
      <w:r>
        <w:rPr>
          <w:noProof/>
        </w:rPr>
        <w:t>Telemetry</w:t>
      </w:r>
      <w:bookmarkEnd w:id="595"/>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(Pmax) greater than or equal to 10 MW</w:t>
      </w:r>
      <w:r>
        <w:rPr>
          <w:rFonts w:cs="Arial"/>
          <w:sz w:val="23"/>
          <w:szCs w:val="23"/>
        </w:rPr>
        <w:t>.</w:t>
      </w:r>
      <w:r w:rsidR="00A54E69">
        <w:rPr>
          <w:rFonts w:cs="Arial"/>
          <w:sz w:val="23"/>
          <w:szCs w:val="23"/>
        </w:rPr>
        <w:t xml:space="preserve">  </w:t>
      </w:r>
      <w:r w:rsidRPr="00483FF9">
        <w:rPr>
          <w:rFonts w:cs="Arial"/>
          <w:sz w:val="23"/>
          <w:szCs w:val="23"/>
        </w:rPr>
        <w:t xml:space="preserve">It is also required for a PDR that requests certification to provide non-spinning and spinning reserve at any rated capacity (Pmax).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6"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596" w:name="_Toc11325940"/>
      <w:bookmarkStart w:id="597" w:name="_Toc11325986"/>
      <w:bookmarkStart w:id="598" w:name="_Toc17375885"/>
      <w:bookmarkEnd w:id="596"/>
      <w:bookmarkEnd w:id="597"/>
      <w:r>
        <w:t>Using the Appropriate Systems for Meter Data Management, and Performance Data Submittal</w:t>
      </w:r>
      <w:bookmarkEnd w:id="598"/>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599" w:author="Sok, Pia" w:date="2019-08-22T13:59:00Z">
        <w:r w:rsidR="00DB30C7">
          <w:rPr>
            <w:szCs w:val="22"/>
          </w:rPr>
          <w:t xml:space="preserve">, </w:t>
        </w:r>
        <w:commentRangeStart w:id="600"/>
        <w:r w:rsidR="00DB30C7">
          <w:rPr>
            <w:szCs w:val="22"/>
          </w:rPr>
          <w:t>and monitoring data (as applicable)</w:t>
        </w:r>
        <w:commentRangeEnd w:id="600"/>
        <w:r w:rsidR="00DB30C7">
          <w:rPr>
            <w:rStyle w:val="CommentReference"/>
          </w:rPr>
          <w:commentReference w:id="600"/>
        </w:r>
      </w:ins>
      <w:r w:rsidRPr="00E51DDB">
        <w:rPr>
          <w:szCs w:val="22"/>
        </w:rPr>
        <w:t xml:space="preserve"> into the Market Results Interface-Settlements system (MRI-S)</w:t>
      </w:r>
      <w:r>
        <w:rPr>
          <w:szCs w:val="22"/>
        </w:rPr>
        <w:t xml:space="preserve">.  </w:t>
      </w:r>
      <w:ins w:id="601" w:author="Sok, Pia" w:date="2019-08-22T14:00:00Z">
        <w:r w:rsidR="00DB30C7">
          <w:rPr>
            <w:szCs w:val="22"/>
          </w:rPr>
          <w:t>DREM</w:t>
        </w:r>
      </w:ins>
      <w:del w:id="602"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t xml:space="preserve"> </w:t>
      </w:r>
      <w:bookmarkStart w:id="603" w:name="_Toc10024631"/>
      <w:bookmarkStart w:id="604" w:name="_Toc10024633"/>
      <w:bookmarkStart w:id="605" w:name="_Toc10024643"/>
      <w:bookmarkStart w:id="606" w:name="_Toc10024644"/>
      <w:bookmarkStart w:id="607" w:name="_Toc10024646"/>
      <w:bookmarkStart w:id="608" w:name="_Toc10024655"/>
      <w:bookmarkStart w:id="609" w:name="_Toc10024659"/>
      <w:bookmarkStart w:id="610" w:name="_Toc10024667"/>
      <w:bookmarkStart w:id="611" w:name="_Toc10024669"/>
      <w:bookmarkStart w:id="612" w:name="_Toc10024673"/>
      <w:bookmarkStart w:id="613" w:name="_Toc10024680"/>
      <w:bookmarkStart w:id="614" w:name="_Toc10024681"/>
      <w:bookmarkStart w:id="615" w:name="_Toc10024682"/>
      <w:bookmarkStart w:id="616" w:name="_Toc10024683"/>
      <w:bookmarkStart w:id="617" w:name="_Toc10024687"/>
      <w:bookmarkStart w:id="618" w:name="_Toc10024691"/>
      <w:bookmarkStart w:id="619" w:name="_Toc10024692"/>
      <w:bookmarkStart w:id="620" w:name="_Toc10024693"/>
      <w:bookmarkStart w:id="621" w:name="_Toc10024694"/>
      <w:bookmarkStart w:id="622" w:name="_Toc10024703"/>
      <w:bookmarkStart w:id="623" w:name="_Toc10024704"/>
      <w:bookmarkStart w:id="624" w:name="_Toc10024706"/>
      <w:bookmarkStart w:id="625" w:name="_Toc10024708"/>
      <w:bookmarkStart w:id="626" w:name="_Toc1002471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00003D2E">
        <w:rPr>
          <w:rFonts w:cs="Arial"/>
        </w:rPr>
        <w:t>For more information regarding Meter Data management and timelines, please refer to the Business Practice Manual (BPM) for Metering section 12.7.</w:t>
      </w:r>
      <w:bookmarkStart w:id="627" w:name="_Toc10024711"/>
      <w:bookmarkStart w:id="628" w:name="_Toc10024712"/>
      <w:bookmarkStart w:id="629" w:name="_Toc10024715"/>
      <w:bookmarkStart w:id="630" w:name="_Toc10024717"/>
      <w:bookmarkEnd w:id="627"/>
      <w:bookmarkEnd w:id="628"/>
      <w:bookmarkEnd w:id="629"/>
      <w:bookmarkEnd w:id="630"/>
    </w:p>
    <w:p w14:paraId="3924F578" w14:textId="77777777" w:rsidR="000E4B74" w:rsidRDefault="000E4B74" w:rsidP="0028415A">
      <w:pPr>
        <w:pStyle w:val="Heading1"/>
        <w:jc w:val="left"/>
      </w:pPr>
      <w:bookmarkStart w:id="631" w:name="_Toc10024722"/>
      <w:bookmarkStart w:id="632" w:name="_Toc11325944"/>
      <w:bookmarkStart w:id="633" w:name="_Toc11325990"/>
      <w:bookmarkStart w:id="634" w:name="_Toc8830148"/>
      <w:bookmarkStart w:id="635" w:name="_Toc8831630"/>
      <w:bookmarkStart w:id="636" w:name="_Toc10024724"/>
      <w:bookmarkStart w:id="637" w:name="_Toc11325946"/>
      <w:bookmarkStart w:id="638" w:name="_Toc11325992"/>
      <w:bookmarkStart w:id="639" w:name="_Toc8830149"/>
      <w:bookmarkStart w:id="640" w:name="_Toc8831631"/>
      <w:bookmarkStart w:id="641" w:name="_Toc10024725"/>
      <w:bookmarkStart w:id="642" w:name="_Toc11325947"/>
      <w:bookmarkStart w:id="643" w:name="_Toc11325993"/>
      <w:bookmarkStart w:id="644" w:name="_Toc17375886"/>
      <w:bookmarkEnd w:id="631"/>
      <w:bookmarkEnd w:id="632"/>
      <w:bookmarkEnd w:id="633"/>
      <w:bookmarkEnd w:id="634"/>
      <w:bookmarkEnd w:id="635"/>
      <w:bookmarkEnd w:id="636"/>
      <w:bookmarkEnd w:id="637"/>
      <w:bookmarkEnd w:id="638"/>
      <w:bookmarkEnd w:id="639"/>
      <w:bookmarkEnd w:id="640"/>
      <w:bookmarkEnd w:id="641"/>
      <w:bookmarkEnd w:id="642"/>
      <w:bookmarkEnd w:id="643"/>
      <w:r>
        <w:t xml:space="preserve">Using </w:t>
      </w:r>
      <w:r w:rsidR="00A529E9">
        <w:t>Customer Market Results Interface (</w:t>
      </w:r>
      <w:r>
        <w:t>CMRI</w:t>
      </w:r>
      <w:r w:rsidR="00A529E9">
        <w:t>)</w:t>
      </w:r>
      <w:bookmarkEnd w:id="644"/>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Advisory, but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7"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645" w:name="_Toc17375887"/>
      <w:r>
        <w:t>DRRS Monitoring Process</w:t>
      </w:r>
      <w:bookmarkEnd w:id="645"/>
    </w:p>
    <w:p w14:paraId="7966F6FF" w14:textId="77777777" w:rsidR="0001785C" w:rsidRDefault="0001785C" w:rsidP="0001785C">
      <w:pPr>
        <w:spacing w:after="240" w:line="300" w:lineRule="auto"/>
        <w:rPr>
          <w:rFonts w:cs="Arial"/>
          <w:szCs w:val="22"/>
        </w:rPr>
      </w:pPr>
      <w:bookmarkStart w:id="646" w:name="_Toc266272799"/>
      <w:bookmarkStart w:id="647" w:name="_Toc324191915"/>
      <w:r w:rsidRPr="00856536">
        <w:rPr>
          <w:rFonts w:cs="Arial"/>
          <w:szCs w:val="22"/>
        </w:rPr>
        <w:t>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take action pursuant to CAISO Tariff Section 30.6.3.</w:t>
      </w:r>
      <w:bookmarkEnd w:id="646"/>
      <w:bookmarkEnd w:id="647"/>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648" w:name="_Toc17375888"/>
      <w:r>
        <w:t>Outages</w:t>
      </w:r>
      <w:bookmarkEnd w:id="648"/>
    </w:p>
    <w:p w14:paraId="2287146A" w14:textId="77777777" w:rsidR="0001785C" w:rsidRPr="00856536" w:rsidRDefault="0001785C" w:rsidP="0001785C">
      <w:pPr>
        <w:pStyle w:val="ParaText"/>
        <w:rPr>
          <w:rFonts w:cs="Arial"/>
        </w:rPr>
      </w:pPr>
      <w:r w:rsidRPr="00856536">
        <w:rPr>
          <w:rFonts w:cs="Arial"/>
        </w:rPr>
        <w:t xml:space="preserve">A PDR or RDRR is allowed to have outages but will be limited to updates to its ramp rates or to modifying its capacity to 0.  PDR and RDRR are all-or-nothing resources, which limits how much such resources can be derated.  PDR and RDRR are also prevented from submitting a rerated of their PMin.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OMS has been updated to permit a PDR or RDRR to submit only PMax derates or Ramp Rate derates.  Any other data entered in OMS through either the UI or API for a PDR or RDRR Resource ID shall return an error message.</w:t>
      </w:r>
      <w:r w:rsidRPr="00856536">
        <w:rPr>
          <w:rFonts w:eastAsia="Calibri" w:cs="Arial"/>
        </w:rPr>
        <w:t xml:space="preserve">  </w:t>
      </w:r>
      <w:r w:rsidRPr="00856536">
        <w:rPr>
          <w:rFonts w:cs="Arial"/>
        </w:rPr>
        <w:t>It also has validation to restrict PMax derates entries for PDR and RDRR Resource IDs to be only 0 MW.  A PMax derate is used to indicate a day should not be used in the baseline calculation.  Since a day is either valid or invalid, no partial derates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649"/>
      <w:commentRangeStart w:id="650"/>
      <w:r w:rsidRPr="00856536">
        <w:rPr>
          <w:rFonts w:cs="Arial"/>
        </w:rPr>
        <w:t>In order to keep a Resource ID active and reduce the need to make updates to the CAISO Master File, the DRP using its scheduling coordinator can submit extended outages to derate its resource to 0 MW when it does not wish to participate in the market</w:t>
      </w:r>
      <w:commentRangeEnd w:id="649"/>
      <w:r w:rsidR="00ED66DD">
        <w:rPr>
          <w:rStyle w:val="CommentReference"/>
        </w:rPr>
        <w:commentReference w:id="649"/>
      </w:r>
      <w:commentRangeEnd w:id="650"/>
      <w:r w:rsidR="000737DC">
        <w:rPr>
          <w:rStyle w:val="CommentReference"/>
        </w:rPr>
        <w:commentReference w:id="650"/>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651" w:name="_Toc17375889"/>
      <w:r>
        <w:t>Net Benefits Test (NBT)</w:t>
      </w:r>
      <w:bookmarkEnd w:id="651"/>
    </w:p>
    <w:p w14:paraId="35372773" w14:textId="77777777" w:rsidR="00B34397" w:rsidRPr="0028415A" w:rsidRDefault="00B34397" w:rsidP="0028415A">
      <w:pPr>
        <w:pStyle w:val="ParaText"/>
        <w:rPr>
          <w:i/>
        </w:rPr>
      </w:pPr>
      <w:commentRangeStart w:id="652"/>
      <w:commentRangeStart w:id="653"/>
      <w:r w:rsidRPr="0028415A">
        <w:rPr>
          <w:i/>
        </w:rPr>
        <w:t>ISO Tariff section 30.6.3</w:t>
      </w:r>
      <w:commentRangeEnd w:id="652"/>
      <w:r w:rsidR="00014395">
        <w:rPr>
          <w:rStyle w:val="CommentReference"/>
        </w:rPr>
        <w:commentReference w:id="652"/>
      </w:r>
      <w:commentRangeEnd w:id="653"/>
      <w:r w:rsidR="00BF33F5">
        <w:rPr>
          <w:rStyle w:val="CommentReference"/>
        </w:rPr>
        <w:commentReference w:id="653"/>
      </w:r>
    </w:p>
    <w:p w14:paraId="6C87251C" w14:textId="46E0C560" w:rsidR="001877DD" w:rsidRDefault="00F213EF" w:rsidP="0028415A">
      <w:pPr>
        <w:pStyle w:val="ParaText"/>
        <w:rPr>
          <w:ins w:id="654"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655" w:author="Sok, Pia" w:date="2019-08-21T09:08:00Z">
        <w:r w:rsidR="00750153">
          <w:t>.</w:t>
        </w:r>
      </w:ins>
      <w:del w:id="656" w:author="Sok, Pia" w:date="2019-08-21T09:08:00Z">
        <w:r w:rsidDel="00750153">
          <w:delText xml:space="preserve">, or they will be </w:delText>
        </w:r>
        <w:commentRangeStart w:id="657"/>
        <w:commentRangeStart w:id="658"/>
        <w:r w:rsidDel="00750153">
          <w:delText>rejected</w:delText>
        </w:r>
        <w:commentRangeEnd w:id="657"/>
        <w:r w:rsidR="00014395" w:rsidDel="00750153">
          <w:rPr>
            <w:rStyle w:val="CommentReference"/>
          </w:rPr>
          <w:commentReference w:id="657"/>
        </w:r>
        <w:commentRangeEnd w:id="658"/>
        <w:r w:rsidR="00BA285C" w:rsidDel="00750153">
          <w:rPr>
            <w:rStyle w:val="CommentReference"/>
          </w:rPr>
          <w:commentReference w:id="658"/>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659" w:author="Sok, Pia" w:date="2019-08-22T09:34:00Z">
        <w:r w:rsidR="00D169B2">
          <w:t xml:space="preserve">  The monthly future gas prices are used in the calculation of </w:t>
        </w:r>
      </w:ins>
      <w:ins w:id="660"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661" w:name="_Toc17375890"/>
      <w:r w:rsidR="00FF66B8">
        <w:t>Appendix A:  Definitions</w:t>
      </w:r>
      <w:bookmarkEnd w:id="661"/>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Access Identity Management (AIM) application.  The application provides registered UAAs with the ability to view application-level access for all of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662"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663" w:author="Sok, Pia" w:date="2019-08-20T16:54:00Z"/>
                <w:rFonts w:cs="Arial"/>
                <w:b/>
                <w:bCs/>
                <w:color w:val="000000"/>
              </w:rPr>
            </w:pPr>
            <w:commentRangeStart w:id="664"/>
            <w:commentRangeStart w:id="665"/>
            <w:del w:id="666" w:author="Sok, Pia" w:date="2019-08-20T16:54:00Z">
              <w:r w:rsidRPr="00636664" w:rsidDel="00401409">
                <w:rPr>
                  <w:rFonts w:cs="Arial"/>
                  <w:b/>
                  <w:bCs/>
                  <w:color w:val="000000"/>
                </w:rPr>
                <w:delText>DLA</w:delText>
              </w:r>
              <w:commentRangeEnd w:id="664"/>
              <w:r w:rsidR="00126E0B" w:rsidDel="00401409">
                <w:rPr>
                  <w:rStyle w:val="CommentReference"/>
                </w:rPr>
                <w:commentReference w:id="664"/>
              </w:r>
              <w:commentRangeEnd w:id="665"/>
              <w:r w:rsidR="005D2E3B" w:rsidDel="00401409">
                <w:rPr>
                  <w:rStyle w:val="CommentReference"/>
                </w:rPr>
                <w:commentReference w:id="665"/>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667" w:author="Sok, Pia" w:date="2019-08-20T16:54:00Z"/>
                <w:rFonts w:cs="Arial"/>
                <w:color w:val="000000"/>
              </w:rPr>
            </w:pPr>
            <w:del w:id="668"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669"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670"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r w:rsidRPr="00636664">
              <w:rPr>
                <w:rFonts w:cs="Arial"/>
                <w:b/>
                <w:bCs/>
                <w:color w:val="000000"/>
              </w:rPr>
              <w:t>Pnode</w:t>
            </w:r>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A pre-established resource ID pre-modeled in each SubLAP based on CAISO specifications and available in the MasterFile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r w:rsidRPr="00636664">
              <w:rPr>
                <w:rFonts w:cs="Arial"/>
                <w:b/>
                <w:bCs/>
                <w:color w:val="000000"/>
              </w:rPr>
              <w:t>SubLAP</w:t>
            </w:r>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671" w:author="Gilbert, Anja" w:date="2019-08-13T09:01:00Z">
              <w:r>
                <w:t>Sub-Load Aggregation Point</w:t>
              </w:r>
            </w:ins>
            <w:ins w:id="672" w:author="Gilbert, Anja" w:date="2019-08-13T09:02:00Z">
              <w:r>
                <w:t xml:space="preserve">, which represents an aggregation of </w:t>
              </w:r>
            </w:ins>
            <w:ins w:id="673" w:author="Gilbert, Anja" w:date="2019-08-13T09:01:00Z">
              <w:r>
                <w:t xml:space="preserve">PNodes within a Default Load Aggregation Point (DLAP). </w:t>
              </w:r>
            </w:ins>
            <w:ins w:id="674" w:author="Gilbert, Anja" w:date="2019-08-13T09:06:00Z">
              <w:r>
                <w:t xml:space="preserve">There are </w:t>
              </w:r>
            </w:ins>
            <w:del w:id="675"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SubLAP locations </w:t>
            </w:r>
            <w:del w:id="676" w:author="Gilbert, Anja" w:date="2019-08-13T09:06:00Z">
              <w:r w:rsidR="00E56537" w:rsidRPr="00636664" w:rsidDel="00126E0B">
                <w:rPr>
                  <w:rFonts w:cs="Arial"/>
                  <w:color w:val="000000"/>
                </w:rPr>
                <w:delText xml:space="preserve">of </w:delText>
              </w:r>
            </w:del>
            <w:ins w:id="677"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SubLAP </w:t>
            </w:r>
            <w:ins w:id="678"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User Access Administ</w:t>
            </w:r>
            <w:ins w:id="679" w:author="Sok, Pia" w:date="2019-08-20T13:50:00Z">
              <w:r w:rsidR="00BF33F5">
                <w:rPr>
                  <w:rFonts w:cs="Arial"/>
                  <w:color w:val="000000"/>
                </w:rPr>
                <w:t>ator</w:t>
              </w:r>
            </w:ins>
            <w:del w:id="680" w:author="Sok, Pia" w:date="2019-08-20T13:50:00Z">
              <w:r w:rsidRPr="00636664" w:rsidDel="00BF33F5">
                <w:rPr>
                  <w:rFonts w:cs="Arial"/>
                  <w:color w:val="000000"/>
                </w:rPr>
                <w:delText xml:space="preserve">rator formerly known as the </w:delText>
              </w:r>
              <w:commentRangeStart w:id="681"/>
              <w:commentRangeStart w:id="682"/>
              <w:r w:rsidRPr="00636664" w:rsidDel="00BF33F5">
                <w:rPr>
                  <w:rFonts w:cs="Arial"/>
                  <w:color w:val="000000"/>
                </w:rPr>
                <w:delText>POC</w:delText>
              </w:r>
              <w:commentRangeEnd w:id="681"/>
              <w:r w:rsidR="00657A71" w:rsidDel="00BF33F5">
                <w:rPr>
                  <w:rStyle w:val="CommentReference"/>
                </w:rPr>
                <w:commentReference w:id="681"/>
              </w:r>
              <w:commentRangeEnd w:id="682"/>
              <w:r w:rsidR="005D2E3B" w:rsidDel="00BF33F5">
                <w:rPr>
                  <w:rStyle w:val="CommentReference"/>
                </w:rPr>
                <w:commentReference w:id="682"/>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683"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684" w:author="Gilbert, Anja" w:date="2019-08-13T09:00:00Z">
              <w:r w:rsidRPr="00636664" w:rsidDel="00126E0B">
                <w:rPr>
                  <w:rFonts w:cs="Arial"/>
                  <w:color w:val="000000"/>
                </w:rPr>
                <w:delText>in</w:delText>
              </w:r>
            </w:del>
            <w:ins w:id="685" w:author="Gilbert, Anja" w:date="2019-08-13T09:00:00Z">
              <w:r w:rsidR="00126E0B">
                <w:rPr>
                  <w:rFonts w:cs="Arial"/>
                  <w:color w:val="000000"/>
                </w:rPr>
                <w:t xml:space="preserve"> where </w:t>
              </w:r>
            </w:ins>
            <w:del w:id="686"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687"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688" w:name="_Appendix_B:_"/>
      <w:bookmarkEnd w:id="688"/>
      <w:r>
        <w:br w:type="page"/>
      </w:r>
      <w:bookmarkStart w:id="689" w:name="_Toc17375891"/>
      <w:r w:rsidR="00EA4087">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689"/>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rsidP="00003D2E">
            <w:pPr>
              <w:spacing w:after="0" w:line="276" w:lineRule="auto"/>
              <w:rPr>
                <w:b/>
                <w:sz w:val="20"/>
              </w:rPr>
            </w:pPr>
            <w:r w:rsidRPr="00997B05">
              <w:rPr>
                <w:b/>
                <w:sz w:val="20"/>
              </w:rPr>
              <w:t>AS Resource only</w:t>
            </w:r>
          </w:p>
          <w:p w14:paraId="17672329" w14:textId="77777777" w:rsidR="00003D2E" w:rsidRDefault="00003D2E" w:rsidP="00003D2E">
            <w:pPr>
              <w:spacing w:after="0" w:line="276" w:lineRule="auto"/>
              <w:rPr>
                <w:sz w:val="20"/>
              </w:rPr>
            </w:pPr>
          </w:p>
          <w:p w14:paraId="6ABCA060" w14:textId="77777777" w:rsidR="00003D2E" w:rsidRDefault="00003D2E" w:rsidP="00003D2E">
            <w:pPr>
              <w:spacing w:after="0" w:line="276" w:lineRule="auto"/>
              <w:rPr>
                <w:sz w:val="20"/>
              </w:rPr>
            </w:pPr>
            <w:r>
              <w:rPr>
                <w:sz w:val="20"/>
              </w:rPr>
              <w:t xml:space="preserve">This is the actual load for intervals the resource receives an Ancillary Service award. </w:t>
            </w:r>
          </w:p>
          <w:p w14:paraId="616183D3" w14:textId="77777777" w:rsidR="00003D2E" w:rsidRPr="00A013C2" w:rsidRDefault="00003D2E" w:rsidP="00003D2E">
            <w:pPr>
              <w:spacing w:after="0" w:line="276" w:lineRule="auto"/>
              <w:rPr>
                <w:sz w:val="20"/>
              </w:rPr>
            </w:pPr>
            <w:r>
              <w:rPr>
                <w:sz w:val="20"/>
              </w:rPr>
              <w:t>Both LOAD and MBMA data sets are required for no pay calculations, even though the LOAD data includes the same values submitted in the MBMA data set.</w:t>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5 minute</w:t>
            </w:r>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77777777"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TMNT: This is the actual underlying consumption or energy of the Loads participating in the resource. This is only used if the resources is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690" w:author="Sok, Pia" w:date="2019-08-22T09:11:00Z"/>
          <w:b/>
          <w:u w:val="single"/>
        </w:rPr>
      </w:pPr>
    </w:p>
    <w:p w14:paraId="167217D2" w14:textId="5A9F4CD6" w:rsidR="00003D2E" w:rsidRPr="00997B05" w:rsidRDefault="00003D2E" w:rsidP="00003D2E">
      <w:pPr>
        <w:spacing w:after="240" w:line="300" w:lineRule="auto"/>
      </w:pPr>
      <w:r w:rsidRPr="006723F6">
        <w:rPr>
          <w:b/>
          <w:u w:val="single"/>
        </w:rPr>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691" w:author="Sok, Pia" w:date="2019-08-22T09:11:00Z"/>
        </w:rPr>
        <w:pPrChange w:id="692" w:author="Sok, Pia" w:date="2019-08-22T09:11:00Z">
          <w:pPr>
            <w:ind w:left="360"/>
          </w:pPr>
        </w:pPrChange>
      </w:pPr>
    </w:p>
    <w:p w14:paraId="1F031859" w14:textId="1BA190B3" w:rsidR="00FA4C45" w:rsidRDefault="00FA4C45">
      <w:pPr>
        <w:rPr>
          <w:ins w:id="693" w:author="Sok, Pia" w:date="2019-08-22T09:11:00Z"/>
        </w:rPr>
        <w:pPrChange w:id="694" w:author="Sok, Pia" w:date="2019-08-22T09:11:00Z">
          <w:pPr>
            <w:ind w:left="360"/>
          </w:pPr>
        </w:pPrChange>
      </w:pPr>
      <w:ins w:id="695"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696"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49"/>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ilbert, Anja" w:date="2019-08-13T08:31:00Z" w:initials="GA">
    <w:p w14:paraId="3081ED32" w14:textId="02DCF226" w:rsidR="00DB30C7" w:rsidRDefault="00DB30C7"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DB30C7" w:rsidRDefault="00DB30C7" w:rsidP="00111502">
      <w:pPr>
        <w:pStyle w:val="CommentText"/>
      </w:pPr>
    </w:p>
    <w:p w14:paraId="09131685" w14:textId="4B784AC6" w:rsidR="00DB30C7" w:rsidRDefault="00DB30C7" w:rsidP="00111502">
      <w:pPr>
        <w:pStyle w:val="CommentText"/>
      </w:pPr>
      <w:r>
        <w:t xml:space="preserve">Please remove references to ESDER 3A as this is a document to encompass all DR changes, not just those in ESDER 3A. </w:t>
      </w:r>
    </w:p>
    <w:p w14:paraId="60D97135" w14:textId="77777777" w:rsidR="00DB30C7" w:rsidRDefault="00DB30C7" w:rsidP="00111502">
      <w:pPr>
        <w:pStyle w:val="CommentText"/>
      </w:pPr>
    </w:p>
    <w:p w14:paraId="08B551FE" w14:textId="09F253B5" w:rsidR="00DB30C7" w:rsidRDefault="00DB30C7">
      <w:pPr>
        <w:pStyle w:val="CommentText"/>
      </w:pPr>
      <w:r>
        <w:t xml:space="preserve">Page numbers need to be updated. </w:t>
      </w:r>
    </w:p>
  </w:comment>
  <w:comment w:id="1" w:author="Sok, Pia" w:date="2019-08-22T07:59:00Z" w:initials="SP">
    <w:p w14:paraId="01F086DC" w14:textId="16B1338D" w:rsidR="00DB30C7" w:rsidRDefault="00DB30C7">
      <w:pPr>
        <w:pStyle w:val="CommentText"/>
      </w:pPr>
      <w:r>
        <w:rPr>
          <w:rStyle w:val="CommentReference"/>
        </w:rPr>
        <w:annotationRef/>
      </w:r>
      <w:r>
        <w:t>Updated</w:t>
      </w:r>
    </w:p>
  </w:comment>
  <w:comment w:id="255" w:author="Gilbert, Anja" w:date="2019-08-13T08:31:00Z" w:initials="GA">
    <w:p w14:paraId="4F83B9BC" w14:textId="77777777" w:rsidR="00DB30C7" w:rsidRDefault="00DB30C7">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DB30C7" w:rsidRDefault="00DB30C7">
      <w:pPr>
        <w:pStyle w:val="CommentText"/>
      </w:pPr>
    </w:p>
    <w:p w14:paraId="2592A79B" w14:textId="29FBE802" w:rsidR="00DB30C7" w:rsidRDefault="00DB30C7">
      <w:pPr>
        <w:pStyle w:val="CommentText"/>
      </w:pPr>
      <w:r>
        <w:t>This belongs in a section on bidding, not in the “about PDR” section. CAISO should keep this information in the “Resource Registration” section.</w:t>
      </w:r>
    </w:p>
  </w:comment>
  <w:comment w:id="256" w:author="Sok, Pia" w:date="2019-08-15T14:19:00Z" w:initials="SP">
    <w:p w14:paraId="16CA5E7C" w14:textId="5A09DD9C" w:rsidR="00DB30C7" w:rsidRDefault="00DB30C7">
      <w:pPr>
        <w:pStyle w:val="CommentText"/>
      </w:pPr>
      <w:r>
        <w:rPr>
          <w:rStyle w:val="CommentReference"/>
        </w:rPr>
        <w:annotationRef/>
      </w:r>
      <w:r>
        <w:t>Agreed</w:t>
      </w:r>
    </w:p>
    <w:p w14:paraId="6CFC8E20" w14:textId="78C9F8EA" w:rsidR="00DB30C7" w:rsidRDefault="00DB30C7">
      <w:pPr>
        <w:pStyle w:val="CommentText"/>
      </w:pPr>
    </w:p>
    <w:p w14:paraId="775F33EC" w14:textId="77777777" w:rsidR="00DB30C7" w:rsidRDefault="00DB30C7">
      <w:pPr>
        <w:pStyle w:val="CommentText"/>
      </w:pPr>
    </w:p>
  </w:comment>
  <w:comment w:id="274" w:author="Hernandez, John" w:date="2019-08-07T08:49:00Z" w:initials="HJ">
    <w:p w14:paraId="30766471" w14:textId="77777777" w:rsidR="00DB30C7" w:rsidRDefault="00DB30C7">
      <w:pPr>
        <w:pStyle w:val="CommentText"/>
      </w:pPr>
      <w:r>
        <w:rPr>
          <w:rStyle w:val="CommentReference"/>
        </w:rPr>
        <w:annotationRef/>
      </w:r>
      <w:r>
        <w:t xml:space="preserve">Is CPUC jurisdiction programs too limiting?  What if a CCA wants to use RDRR, would they be disallowed? </w:t>
      </w:r>
    </w:p>
  </w:comment>
  <w:comment w:id="275" w:author="Sok, Pia" w:date="2019-08-20T12:02:00Z" w:initials="SP">
    <w:p w14:paraId="6FAE80D8" w14:textId="070D6388" w:rsidR="00DB30C7" w:rsidRDefault="00DB30C7"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DB30C7" w:rsidRDefault="00DB30C7">
      <w:pPr>
        <w:pStyle w:val="CommentText"/>
      </w:pPr>
    </w:p>
  </w:comment>
  <w:comment w:id="291" w:author="Hernandez, John" w:date="2019-08-07T08:54:00Z" w:initials="HJ">
    <w:p w14:paraId="48F807FC" w14:textId="77777777" w:rsidR="00DB30C7" w:rsidRDefault="00DB30C7">
      <w:pPr>
        <w:pStyle w:val="CommentText"/>
      </w:pPr>
      <w:r>
        <w:rPr>
          <w:rStyle w:val="CommentReference"/>
        </w:rPr>
        <w:annotationRef/>
      </w:r>
      <w:r>
        <w:t>Isn’t this the LSE’s responsibility and not the DRP?  DRP schedules only the load drop/curtailment.  Wording is confusing.</w:t>
      </w:r>
    </w:p>
  </w:comment>
  <w:comment w:id="292" w:author="Sok, Pia" w:date="2019-08-20T11:51:00Z" w:initials="SP">
    <w:p w14:paraId="340C53E0" w14:textId="5C93DF6C" w:rsidR="00DB30C7" w:rsidRDefault="00DB30C7">
      <w:pPr>
        <w:pStyle w:val="CommentText"/>
      </w:pPr>
      <w:r>
        <w:rPr>
          <w:rStyle w:val="CommentReference"/>
        </w:rPr>
        <w:annotationRef/>
      </w:r>
      <w:r>
        <w:br/>
        <w:t>Re-worded</w:t>
      </w:r>
    </w:p>
  </w:comment>
  <w:comment w:id="305" w:author="Gilbert, Anja" w:date="2019-08-13T08:41:00Z" w:initials="GA">
    <w:p w14:paraId="7FE08E41" w14:textId="1B23BD59" w:rsidR="00DB30C7" w:rsidRDefault="00DB30C7">
      <w:pPr>
        <w:pStyle w:val="CommentText"/>
      </w:pPr>
      <w:r>
        <w:rPr>
          <w:rStyle w:val="CommentReference"/>
        </w:rPr>
        <w:annotationRef/>
      </w:r>
      <w:r>
        <w:t xml:space="preserve">Also refer readers to applicable parts of this BPM. </w:t>
      </w:r>
    </w:p>
  </w:comment>
  <w:comment w:id="306" w:author="Sok, Pia" w:date="2019-08-20T11:52:00Z" w:initials="SP">
    <w:p w14:paraId="655D0660" w14:textId="4B281E59" w:rsidR="00DB30C7" w:rsidRDefault="00DB30C7">
      <w:pPr>
        <w:pStyle w:val="CommentText"/>
      </w:pPr>
      <w:r>
        <w:rPr>
          <w:rStyle w:val="CommentReference"/>
        </w:rPr>
        <w:annotationRef/>
      </w:r>
      <w:r>
        <w:t>Re-worded</w:t>
      </w:r>
    </w:p>
  </w:comment>
  <w:comment w:id="313" w:author="Hernandez, John" w:date="2019-08-07T09:00:00Z" w:initials="HJ">
    <w:p w14:paraId="3627EEA4" w14:textId="736B7856" w:rsidR="00DB30C7" w:rsidRDefault="00DB30C7"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14" w:author="Sok, Pia" w:date="2019-08-15T14:30:00Z" w:initials="SP">
    <w:p w14:paraId="141CCCE2" w14:textId="0934DCC4" w:rsidR="00DB30C7" w:rsidRDefault="00DB30C7">
      <w:pPr>
        <w:pStyle w:val="CommentText"/>
      </w:pPr>
      <w:r>
        <w:rPr>
          <w:rStyle w:val="CommentReference"/>
        </w:rPr>
        <w:annotationRef/>
      </w:r>
      <w:r w:rsidR="00896B50">
        <w:t xml:space="preserve">Agreed.  </w:t>
      </w:r>
      <w:r>
        <w:t>Removed sentence</w:t>
      </w:r>
    </w:p>
  </w:comment>
  <w:comment w:id="319" w:author="Gilbert, Anja" w:date="2019-08-13T08:37:00Z" w:initials="GA">
    <w:p w14:paraId="23067A0B" w14:textId="7E66A57E" w:rsidR="00DB30C7" w:rsidRDefault="00DB30C7">
      <w:pPr>
        <w:pStyle w:val="CommentText"/>
      </w:pPr>
      <w:r>
        <w:rPr>
          <w:rStyle w:val="CommentReference"/>
        </w:rPr>
        <w:annotationRef/>
      </w:r>
      <w:r>
        <w:t xml:space="preserve">Does this need to be tied to ESDER 2 or can this stand alone? </w:t>
      </w:r>
    </w:p>
  </w:comment>
  <w:comment w:id="320" w:author="Sok, Pia" w:date="2019-08-15T14:32:00Z" w:initials="SP">
    <w:p w14:paraId="5D04C9C4" w14:textId="1C1F6299" w:rsidR="00DB30C7" w:rsidRDefault="00DB30C7">
      <w:pPr>
        <w:pStyle w:val="CommentText"/>
      </w:pPr>
      <w:r>
        <w:rPr>
          <w:rStyle w:val="CommentReference"/>
        </w:rPr>
        <w:annotationRef/>
      </w:r>
      <w:r>
        <w:t>Deleted the word, “ESDER 2”</w:t>
      </w:r>
    </w:p>
  </w:comment>
  <w:comment w:id="321" w:author="Hernandez, John" w:date="2019-08-07T09:16:00Z" w:initials="HJ">
    <w:p w14:paraId="34FACF90" w14:textId="192880FD" w:rsidR="00DB30C7" w:rsidRDefault="00DB30C7">
      <w:pPr>
        <w:pStyle w:val="CommentText"/>
      </w:pPr>
      <w:r>
        <w:rPr>
          <w:rStyle w:val="CommentReference"/>
        </w:rPr>
        <w:annotationRef/>
      </w:r>
      <w:r>
        <w:t>Please address how often a DRP can change the baseline methodology.</w:t>
      </w:r>
    </w:p>
  </w:comment>
  <w:comment w:id="322" w:author="Sok, Pia" w:date="2019-08-15T14:32:00Z" w:initials="SP">
    <w:p w14:paraId="5375087B" w14:textId="7C5C26D2" w:rsidR="00DB30C7" w:rsidRDefault="00DB30C7">
      <w:pPr>
        <w:pStyle w:val="CommentText"/>
      </w:pPr>
      <w:r>
        <w:rPr>
          <w:rStyle w:val="CommentReference"/>
        </w:rPr>
        <w:annotationRef/>
      </w:r>
      <w:r>
        <w:t>Added to section 5.</w:t>
      </w:r>
    </w:p>
  </w:comment>
  <w:comment w:id="329" w:author="Hernandez, John" w:date="2019-08-07T09:19:00Z" w:initials="HJ">
    <w:p w14:paraId="14F993D1" w14:textId="77777777" w:rsidR="00DB30C7" w:rsidRDefault="00DB30C7">
      <w:pPr>
        <w:pStyle w:val="CommentText"/>
      </w:pPr>
      <w:r>
        <w:rPr>
          <w:rStyle w:val="CommentReference"/>
        </w:rPr>
        <w:annotationRef/>
      </w:r>
      <w:r>
        <w:t>Can a resource comprise of residential users using MGO use any of the aforementioned baseline methodologies?  For example, MGO w/ a 5-10.</w:t>
      </w:r>
    </w:p>
    <w:p w14:paraId="45A87DDC" w14:textId="77777777" w:rsidR="00DB30C7" w:rsidRDefault="00DB30C7">
      <w:pPr>
        <w:pStyle w:val="CommentText"/>
      </w:pPr>
    </w:p>
    <w:p w14:paraId="6BF13EF4" w14:textId="77777777" w:rsidR="00DB30C7" w:rsidRDefault="00DB30C7">
      <w:pPr>
        <w:pStyle w:val="CommentText"/>
      </w:pPr>
      <w:r>
        <w:t>If not, suggest striking ‘generally’.</w:t>
      </w:r>
    </w:p>
  </w:comment>
  <w:comment w:id="330" w:author="Sok, Pia" w:date="2019-08-15T14:35:00Z" w:initials="SP">
    <w:p w14:paraId="33F23045" w14:textId="56C9DDAE" w:rsidR="00DB30C7" w:rsidRDefault="00DB30C7">
      <w:pPr>
        <w:pStyle w:val="CommentText"/>
      </w:pPr>
      <w:r>
        <w:rPr>
          <w:rStyle w:val="CommentReference"/>
        </w:rPr>
        <w:annotationRef/>
      </w:r>
      <w:r>
        <w:t>Strikethrough “generally”</w:t>
      </w:r>
    </w:p>
  </w:comment>
  <w:comment w:id="361" w:author="Sok, Pia" w:date="2019-08-22T13:50:00Z" w:initials="SP">
    <w:p w14:paraId="1994A808" w14:textId="27B2EA9B" w:rsidR="00DB30C7" w:rsidRDefault="00DB30C7">
      <w:pPr>
        <w:pStyle w:val="CommentText"/>
      </w:pPr>
      <w:r>
        <w:rPr>
          <w:rStyle w:val="CommentReference"/>
        </w:rPr>
        <w:annotationRef/>
      </w:r>
      <w:r>
        <w:t>Added</w:t>
      </w:r>
    </w:p>
  </w:comment>
  <w:comment w:id="367" w:author="Gilbert, Anja" w:date="2019-08-13T08:32:00Z" w:initials="GA">
    <w:p w14:paraId="45C78615" w14:textId="77777777" w:rsidR="00DB30C7" w:rsidRDefault="00DB30C7" w:rsidP="00AD605A">
      <w:pPr>
        <w:pStyle w:val="CommentText"/>
      </w:pPr>
      <w:r>
        <w:rPr>
          <w:rStyle w:val="CommentReference"/>
        </w:rPr>
        <w:annotationRef/>
      </w:r>
      <w:r>
        <w:t xml:space="preserve">CAISO should refer readers to the DR Users Guide for more information on DRRS – if the Users Guide is used for explaining the applications. </w:t>
      </w:r>
    </w:p>
    <w:p w14:paraId="62D588E8" w14:textId="34F212C9" w:rsidR="00DB30C7" w:rsidRDefault="00DB30C7">
      <w:pPr>
        <w:pStyle w:val="CommentText"/>
      </w:pPr>
    </w:p>
  </w:comment>
  <w:comment w:id="368" w:author="Sok, Pia" w:date="2019-08-15T14:36:00Z" w:initials="SP">
    <w:p w14:paraId="77118A07" w14:textId="0B1326E9" w:rsidR="00DB30C7" w:rsidRDefault="00DB30C7">
      <w:pPr>
        <w:pStyle w:val="CommentText"/>
      </w:pPr>
      <w:r>
        <w:rPr>
          <w:rStyle w:val="CommentReference"/>
        </w:rPr>
        <w:annotationRef/>
      </w:r>
      <w:r>
        <w:t>Added reference to DR User Guide, and the Technical Specification.</w:t>
      </w:r>
    </w:p>
  </w:comment>
  <w:comment w:id="375" w:author="Gilbert, Anja" w:date="2019-08-13T08:32:00Z" w:initials="GA">
    <w:p w14:paraId="0F69D660" w14:textId="61044A17" w:rsidR="00DB30C7" w:rsidRDefault="00DB30C7">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376" w:author="Gilbert, Anja" w:date="2019-08-13T08:32:00Z" w:initials="GA">
    <w:p w14:paraId="2A08B9CB" w14:textId="2E1999DE" w:rsidR="00DB30C7" w:rsidRDefault="00DB30C7">
      <w:pPr>
        <w:pStyle w:val="CommentText"/>
      </w:pPr>
      <w:r>
        <w:rPr>
          <w:rStyle w:val="CommentReference"/>
        </w:rPr>
        <w:annotationRef/>
      </w:r>
      <w:r>
        <w:t xml:space="preserve">This should also point to where a stakeholder can obtain the forms for PEMs. </w:t>
      </w:r>
    </w:p>
  </w:comment>
  <w:comment w:id="377" w:author="Sok, Pia" w:date="2019-08-15T14:38:00Z" w:initials="SP">
    <w:p w14:paraId="62548D67" w14:textId="4239759C" w:rsidR="00DB30C7" w:rsidRDefault="00DB30C7">
      <w:pPr>
        <w:pStyle w:val="CommentText"/>
      </w:pPr>
      <w:r>
        <w:rPr>
          <w:rStyle w:val="CommentReference"/>
        </w:rPr>
        <w:annotationRef/>
      </w:r>
      <w:r>
        <w:t>agree</w:t>
      </w:r>
    </w:p>
  </w:comment>
  <w:comment w:id="381" w:author="Hernandez, John" w:date="2019-08-07T09:31:00Z" w:initials="HJ">
    <w:p w14:paraId="21091546" w14:textId="77777777" w:rsidR="00DB30C7" w:rsidRDefault="00DB30C7">
      <w:pPr>
        <w:pStyle w:val="CommentText"/>
      </w:pPr>
      <w:r>
        <w:rPr>
          <w:rStyle w:val="CommentReference"/>
        </w:rPr>
        <w:annotationRef/>
      </w:r>
      <w:r>
        <w:t>Side note: So there is a possibility that a non-residential customer could be assigned a CBL 5-10.  Who checks that the customer is res or non-res and whether the CBL is appropriate?</w:t>
      </w:r>
    </w:p>
  </w:comment>
  <w:comment w:id="382" w:author="Chiu, Randy" w:date="2019-08-12T15:21:00Z" w:initials="CR">
    <w:p w14:paraId="6EFA5C6A" w14:textId="3674C8B6" w:rsidR="00DB30C7" w:rsidRDefault="00DB30C7">
      <w:pPr>
        <w:pStyle w:val="CommentText"/>
      </w:pPr>
      <w:r>
        <w:rPr>
          <w:rStyle w:val="CommentReference"/>
        </w:rPr>
        <w:annotationRef/>
      </w:r>
      <w:r>
        <w:t>Don’t believe there is any validation. SC/DRP must submit a PEM form prior to use of a baseline describing how they plan to implement it.</w:t>
      </w:r>
    </w:p>
  </w:comment>
  <w:comment w:id="383" w:author="Sok, Pia" w:date="2019-08-15T14:39:00Z" w:initials="SP">
    <w:p w14:paraId="68E66FE4" w14:textId="2BCD4A6E" w:rsidR="00DB30C7" w:rsidRDefault="00DB30C7">
      <w:pPr>
        <w:pStyle w:val="CommentText"/>
      </w:pPr>
      <w:r>
        <w:rPr>
          <w:rStyle w:val="CommentReference"/>
        </w:rPr>
        <w:annotationRef/>
      </w:r>
      <w:r>
        <w:t>The PEM form is an attestation that the DRP is following the rules of the CAISO tariff.</w:t>
      </w:r>
    </w:p>
  </w:comment>
  <w:comment w:id="403" w:author="Hernandez, John" w:date="2019-08-07T09:34:00Z" w:initials="HJ">
    <w:p w14:paraId="7481D101" w14:textId="77777777" w:rsidR="00DB30C7" w:rsidRDefault="00DB30C7">
      <w:pPr>
        <w:pStyle w:val="CommentText"/>
      </w:pPr>
      <w:r>
        <w:rPr>
          <w:rStyle w:val="CommentReference"/>
        </w:rPr>
        <w:annotationRef/>
      </w:r>
      <w:r>
        <w:t xml:space="preserve">How would ‘typical use’ be calculated in a standalone MGO?  </w:t>
      </w:r>
    </w:p>
  </w:comment>
  <w:comment w:id="404" w:author="Sok, Pia" w:date="2019-08-15T14:45:00Z" w:initials="SP">
    <w:p w14:paraId="42BA33BF" w14:textId="4FE98D68" w:rsidR="00DB30C7" w:rsidRDefault="00DB30C7">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407" w:author="Hernandez, John" w:date="2019-08-07T09:36:00Z" w:initials="HJ">
    <w:p w14:paraId="333C0482" w14:textId="77777777" w:rsidR="00DB30C7" w:rsidRDefault="00DB30C7">
      <w:pPr>
        <w:pStyle w:val="CommentText"/>
      </w:pPr>
      <w:r>
        <w:rPr>
          <w:rStyle w:val="CommentReference"/>
        </w:rPr>
        <w:annotationRef/>
      </w:r>
      <w:r>
        <w:t xml:space="preserve">Will the LRA or IOU (metering) be part of this approval of metering and equipment/device? </w:t>
      </w:r>
    </w:p>
  </w:comment>
  <w:comment w:id="408" w:author="Sok, Pia" w:date="2019-08-15T14:53:00Z" w:initials="SP">
    <w:p w14:paraId="2221E25C" w14:textId="53CE97D6" w:rsidR="00DB30C7" w:rsidRDefault="00DB30C7">
      <w:pPr>
        <w:pStyle w:val="CommentText"/>
      </w:pPr>
      <w:r>
        <w:rPr>
          <w:rStyle w:val="CommentReference"/>
        </w:rPr>
        <w:annotationRef/>
      </w:r>
      <w:r>
        <w:t>The SQMD Plan is for CAISO’s approval for the metering device.</w:t>
      </w:r>
    </w:p>
  </w:comment>
  <w:comment w:id="420" w:author="Gilbert, Anja" w:date="2019-08-13T08:33:00Z" w:initials="GA">
    <w:p w14:paraId="344FE10C" w14:textId="77777777" w:rsidR="00DB30C7" w:rsidRDefault="00DB30C7"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DB30C7" w:rsidRDefault="00DB30C7" w:rsidP="00736460">
      <w:pPr>
        <w:pStyle w:val="CommentText"/>
      </w:pPr>
    </w:p>
    <w:p w14:paraId="03759485" w14:textId="77777777" w:rsidR="00DB30C7" w:rsidRDefault="00DB30C7" w:rsidP="00736460">
      <w:pPr>
        <w:pStyle w:val="CommentText"/>
      </w:pPr>
      <w:r>
        <w:t xml:space="preserve">This section should begin with explanation of the purpose of MGO and what it does.  </w:t>
      </w:r>
    </w:p>
    <w:p w14:paraId="50CF584E" w14:textId="77777777" w:rsidR="00DB30C7" w:rsidRDefault="00DB30C7" w:rsidP="00736460">
      <w:pPr>
        <w:pStyle w:val="CommentText"/>
      </w:pPr>
    </w:p>
    <w:p w14:paraId="686A02FA" w14:textId="3D7B85B2" w:rsidR="00DB30C7" w:rsidRDefault="00DB30C7"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421" w:author="Sok, Pia" w:date="2019-08-15T14:55:00Z" w:initials="SP">
    <w:p w14:paraId="42E7C9D6" w14:textId="22D7E17C" w:rsidR="00DB30C7" w:rsidRDefault="00DB30C7">
      <w:pPr>
        <w:pStyle w:val="CommentText"/>
      </w:pPr>
      <w:r>
        <w:rPr>
          <w:rStyle w:val="CommentReference"/>
        </w:rPr>
        <w:annotationRef/>
      </w:r>
      <w:r w:rsidR="00896B50">
        <w:t>Added a description</w:t>
      </w:r>
    </w:p>
  </w:comment>
  <w:comment w:id="425" w:author="Gilbert, Anja" w:date="2019-08-13T08:33:00Z" w:initials="GA">
    <w:p w14:paraId="2EA8CD45" w14:textId="77777777" w:rsidR="00DB30C7" w:rsidRDefault="00DB30C7"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DB30C7" w:rsidRDefault="00DB30C7">
      <w:pPr>
        <w:pStyle w:val="CommentText"/>
      </w:pPr>
    </w:p>
  </w:comment>
  <w:comment w:id="426" w:author="Sok, Pia" w:date="2019-08-15T14:57:00Z" w:initials="SP">
    <w:p w14:paraId="00E089F9" w14:textId="06ED10EB" w:rsidR="00DB30C7" w:rsidRDefault="00DB30C7">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427" w:author="Hernandez, John" w:date="2019-08-07T09:46:00Z" w:initials="HJ">
    <w:p w14:paraId="2085AD7F" w14:textId="77777777" w:rsidR="00DB30C7" w:rsidRDefault="00DB30C7">
      <w:pPr>
        <w:pStyle w:val="CommentText"/>
      </w:pPr>
      <w:r>
        <w:rPr>
          <w:rStyle w:val="CommentReference"/>
        </w:rPr>
        <w:annotationRef/>
      </w:r>
      <w:r>
        <w:t xml:space="preserve">Can the CAISO provide the process for (BTM) device specific registration? </w:t>
      </w:r>
    </w:p>
  </w:comment>
  <w:comment w:id="428" w:author="Sok, Pia" w:date="2019-08-15T14:58:00Z" w:initials="SP">
    <w:p w14:paraId="5561C1D5" w14:textId="65303B8E" w:rsidR="00DB30C7" w:rsidRDefault="00DB30C7">
      <w:pPr>
        <w:pStyle w:val="CommentText"/>
      </w:pPr>
      <w:r>
        <w:rPr>
          <w:rStyle w:val="CommentReference"/>
        </w:rPr>
        <w:annotationRef/>
      </w:r>
      <w:r>
        <w:t>Currently, there is no registration process for BTM device, but should be described on the PEM form.</w:t>
      </w:r>
    </w:p>
  </w:comment>
  <w:comment w:id="436" w:author="Hernandez, John" w:date="2019-08-07T09:56:00Z" w:initials="HJ">
    <w:p w14:paraId="435D9271" w14:textId="77777777" w:rsidR="00DB30C7" w:rsidRDefault="00DB30C7">
      <w:pPr>
        <w:pStyle w:val="CommentText"/>
      </w:pPr>
      <w:r>
        <w:rPr>
          <w:rStyle w:val="CommentReference"/>
        </w:rPr>
        <w:annotationRef/>
      </w:r>
      <w:r>
        <w:t xml:space="preserve">Can the locations that make up the Control Group span across different subLAPs at other DLAPs?  In other words, can a DRP build up a control group across different service territory (SCE and PG&amp;E) to meet the min 150 assuming that the customers are similar and the climate is as well? </w:t>
      </w:r>
    </w:p>
  </w:comment>
  <w:comment w:id="437" w:author="Sok, Pia" w:date="2019-08-16T16:36:00Z" w:initials="SP">
    <w:p w14:paraId="72C04053" w14:textId="113F7B4E" w:rsidR="00DB30C7" w:rsidRDefault="00DB30C7">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has been updated. Starting ESDER 3a, the 150 minimum requirement for CG Locations (customers that are geographically similar and grid conditions) can span across subLAPs at other DLAPs.  However, the location identified as a Treatment Group cannot span across subLAPs because Treatment Group respond to dispatch, whereas the CG locations does not.  This is the current process, and will not change starting ESDER 3a.</w:t>
      </w:r>
    </w:p>
  </w:comment>
  <w:comment w:id="459" w:author="Gilbert, Anja" w:date="2019-08-12T16:56:00Z" w:initials="GA">
    <w:p w14:paraId="6C19208D" w14:textId="77777777" w:rsidR="00DB30C7" w:rsidRDefault="00DB30C7" w:rsidP="00736460">
      <w:pPr>
        <w:pStyle w:val="CommentText"/>
      </w:pPr>
      <w:r>
        <w:rPr>
          <w:rStyle w:val="CommentReference"/>
        </w:rPr>
        <w:annotationRef/>
      </w:r>
      <w:r>
        <w:t xml:space="preserve">Taken from the tariff. </w:t>
      </w:r>
    </w:p>
  </w:comment>
  <w:comment w:id="461" w:author="Sok, Pia" w:date="2019-08-20T13:37:00Z" w:initials="SP">
    <w:p w14:paraId="59AB9D4D" w14:textId="26474C95" w:rsidR="00DB30C7" w:rsidRDefault="00DB30C7">
      <w:pPr>
        <w:pStyle w:val="CommentText"/>
      </w:pPr>
      <w:r>
        <w:rPr>
          <w:rStyle w:val="CommentReference"/>
        </w:rPr>
        <w:annotationRef/>
      </w:r>
      <w:r>
        <w:t>Added Tariff section</w:t>
      </w:r>
    </w:p>
  </w:comment>
  <w:comment w:id="464" w:author="Gilbert, Anja" w:date="2019-08-13T08:34:00Z" w:initials="GA">
    <w:p w14:paraId="12909D14" w14:textId="0A3B4924" w:rsidR="00DB30C7" w:rsidRDefault="00DB30C7">
      <w:pPr>
        <w:pStyle w:val="CommentText"/>
      </w:pPr>
      <w:r>
        <w:rPr>
          <w:rStyle w:val="CommentReference"/>
        </w:rPr>
        <w:annotationRef/>
      </w:r>
      <w:r>
        <w:t xml:space="preserve">Should this reflect the same language above/ the tariff  for cases when there are not 4 eligible calendar days available? </w:t>
      </w:r>
    </w:p>
  </w:comment>
  <w:comment w:id="465" w:author="Sok, Pia" w:date="2019-08-20T13:38:00Z" w:initials="SP">
    <w:p w14:paraId="1857ADA6" w14:textId="3F5C3571" w:rsidR="00DB30C7" w:rsidRDefault="00DB30C7">
      <w:pPr>
        <w:pStyle w:val="CommentText"/>
      </w:pPr>
      <w:r>
        <w:rPr>
          <w:rStyle w:val="CommentReference"/>
        </w:rPr>
        <w:annotationRef/>
      </w:r>
      <w:r>
        <w:rPr>
          <w:rStyle w:val="CommentReference"/>
        </w:rPr>
        <w:t>Agreed.  Added tariff section for reference</w:t>
      </w:r>
    </w:p>
  </w:comment>
  <w:comment w:id="478" w:author="Gilbert, Anja" w:date="2019-08-13T09:18:00Z" w:initials="GA">
    <w:p w14:paraId="3E93F72D" w14:textId="77777777" w:rsidR="00DB30C7" w:rsidRDefault="00DB30C7">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DB30C7" w:rsidRDefault="00DB30C7">
      <w:pPr>
        <w:pStyle w:val="CommentText"/>
      </w:pPr>
    </w:p>
    <w:p w14:paraId="49D535B5" w14:textId="4D7E59A1" w:rsidR="00DB30C7" w:rsidRDefault="00DB30C7">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479" w:author="Sok, Pia" w:date="2019-08-20T13:40:00Z" w:initials="SP">
    <w:p w14:paraId="3FA63B80" w14:textId="0D72B536" w:rsidR="00DB30C7" w:rsidRDefault="00DB30C7">
      <w:pPr>
        <w:pStyle w:val="CommentText"/>
      </w:pPr>
      <w:r>
        <w:rPr>
          <w:rStyle w:val="CommentReference"/>
        </w:rPr>
        <w:annotationRef/>
      </w:r>
      <w:r>
        <w:t>Added Tariff section.  Update 3 eligible days to 5.</w:t>
      </w:r>
    </w:p>
  </w:comment>
  <w:comment w:id="483" w:author="Chiu, Randy" w:date="2019-08-13T16:45:00Z" w:initials="CR">
    <w:p w14:paraId="79A21A93" w14:textId="4A15A6A7" w:rsidR="00DB30C7" w:rsidRDefault="00DB30C7">
      <w:pPr>
        <w:pStyle w:val="CommentText"/>
      </w:pPr>
      <w:r>
        <w:rPr>
          <w:rStyle w:val="CommentReference"/>
        </w:rPr>
        <w:annotationRef/>
      </w:r>
      <w:r>
        <w:t>This describes the application of weights for the weekend baseline days, not the same day adjustment calculation</w:t>
      </w:r>
    </w:p>
  </w:comment>
  <w:comment w:id="484" w:author="Sok, Pia" w:date="2019-08-19T13:32:00Z" w:initials="SP">
    <w:p w14:paraId="3CE46932" w14:textId="6538C036" w:rsidR="00DB30C7" w:rsidRDefault="00DB30C7">
      <w:pPr>
        <w:pStyle w:val="CommentText"/>
      </w:pPr>
      <w:r>
        <w:rPr>
          <w:rStyle w:val="CommentReference"/>
        </w:rPr>
        <w:annotationRef/>
      </w:r>
      <w:r>
        <w:t xml:space="preserve"> Agreed</w:t>
      </w:r>
    </w:p>
  </w:comment>
  <w:comment w:id="491" w:author="Chiu, Randy" w:date="2019-08-13T16:47:00Z" w:initials="CR">
    <w:p w14:paraId="267F08FB" w14:textId="358BA49E" w:rsidR="00DB30C7" w:rsidRDefault="00DB30C7">
      <w:pPr>
        <w:pStyle w:val="CommentText"/>
      </w:pPr>
      <w:r>
        <w:rPr>
          <w:rStyle w:val="CommentReference"/>
        </w:rPr>
        <w:annotationRef/>
      </w:r>
      <w:r>
        <w:rPr>
          <w:noProof/>
        </w:rPr>
        <w:t>Same language as in  5 in 10 weekday section</w:t>
      </w:r>
    </w:p>
  </w:comment>
  <w:comment w:id="492" w:author="Sok, Pia" w:date="2019-08-19T13:44:00Z" w:initials="SP">
    <w:p w14:paraId="41F6D583" w14:textId="6553C81C" w:rsidR="00DB30C7" w:rsidRDefault="00DB30C7">
      <w:pPr>
        <w:pStyle w:val="CommentText"/>
      </w:pPr>
      <w:r>
        <w:rPr>
          <w:rStyle w:val="CommentReference"/>
        </w:rPr>
        <w:annotationRef/>
      </w:r>
      <w:r>
        <w:t>Same comment</w:t>
      </w:r>
    </w:p>
  </w:comment>
  <w:comment w:id="600" w:author="Sok, Pia" w:date="2019-08-22T13:59:00Z" w:initials="SP">
    <w:p w14:paraId="53EF61CE" w14:textId="6EF56128" w:rsidR="00DB30C7" w:rsidRDefault="00DB30C7">
      <w:pPr>
        <w:pStyle w:val="CommentText"/>
      </w:pPr>
      <w:r>
        <w:rPr>
          <w:rStyle w:val="CommentReference"/>
        </w:rPr>
        <w:annotationRef/>
      </w:r>
      <w:r>
        <w:t>Added</w:t>
      </w:r>
    </w:p>
  </w:comment>
  <w:comment w:id="649" w:author="Chiu, Randy" w:date="2019-08-12T15:24:00Z" w:initials="CR">
    <w:p w14:paraId="77B9E9E2" w14:textId="77777777" w:rsidR="00DB30C7" w:rsidRDefault="00DB30C7">
      <w:pPr>
        <w:pStyle w:val="CommentText"/>
      </w:pPr>
      <w:r>
        <w:rPr>
          <w:rStyle w:val="CommentReference"/>
        </w:rPr>
        <w:annotationRef/>
      </w:r>
      <w:r>
        <w:t>Ann Segesman: G</w:t>
      </w:r>
      <w:r w:rsidRPr="00ED66DD">
        <w:t xml:space="preserve">reat change to allow resource IDs to put in extended outages to derate to 0 mw – we can “keep” the PDR IDs over the winter. </w:t>
      </w:r>
    </w:p>
    <w:p w14:paraId="051F2668" w14:textId="77777777" w:rsidR="00DB30C7" w:rsidRDefault="00DB30C7">
      <w:pPr>
        <w:pStyle w:val="CommentText"/>
      </w:pPr>
    </w:p>
    <w:p w14:paraId="6F5F8377" w14:textId="2E623EDC" w:rsidR="00DB30C7" w:rsidRDefault="00DB30C7">
      <w:pPr>
        <w:pStyle w:val="CommentText"/>
      </w:pPr>
      <w:r w:rsidRPr="00ED66DD">
        <w:t>D</w:t>
      </w:r>
      <w:r>
        <w:t>o</w:t>
      </w:r>
      <w:r w:rsidRPr="00ED66DD">
        <w:t xml:space="preserve"> you know if you must keep an active registration for these IDs while they are on an extended outage</w:t>
      </w:r>
      <w:r>
        <w:t>?</w:t>
      </w:r>
    </w:p>
  </w:comment>
  <w:comment w:id="650" w:author="Sok, Pia" w:date="2019-08-14T16:39:00Z" w:initials="SP">
    <w:p w14:paraId="08C0ED24" w14:textId="4E492FEB" w:rsidR="00DB30C7" w:rsidRDefault="00DB30C7">
      <w:pPr>
        <w:pStyle w:val="CommentText"/>
      </w:pPr>
      <w:r>
        <w:rPr>
          <w:rStyle w:val="CommentReference"/>
        </w:rPr>
        <w:annotationRef/>
      </w:r>
      <w:r>
        <w:t>Yes, you must keep an active registration for the resource ids that have an extended outage.</w:t>
      </w:r>
    </w:p>
  </w:comment>
  <w:comment w:id="652" w:author="Gilbert, Anja" w:date="2019-08-13T08:48:00Z" w:initials="GA">
    <w:p w14:paraId="1CDA3D28" w14:textId="041545A6" w:rsidR="00DB30C7" w:rsidRDefault="00DB30C7">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653" w:author="Sok, Pia" w:date="2019-08-20T13:48:00Z" w:initials="SP">
    <w:p w14:paraId="12F22E39" w14:textId="4019D01A" w:rsidR="00DB30C7" w:rsidRDefault="00DB30C7">
      <w:pPr>
        <w:pStyle w:val="CommentText"/>
      </w:pPr>
      <w:r>
        <w:rPr>
          <w:rStyle w:val="CommentReference"/>
        </w:rPr>
        <w:annotationRef/>
      </w:r>
      <w:r>
        <w:t>Calculations are in the BPM for Market Instruments</w:t>
      </w:r>
    </w:p>
  </w:comment>
  <w:comment w:id="657" w:author="Gilbert, Anja" w:date="2019-08-13T08:44:00Z" w:initials="GA">
    <w:p w14:paraId="320AE6C1" w14:textId="77777777" w:rsidR="00DB30C7" w:rsidRDefault="00DB30C7">
      <w:pPr>
        <w:pStyle w:val="CommentText"/>
      </w:pPr>
      <w:r>
        <w:rPr>
          <w:rStyle w:val="CommentReference"/>
        </w:rPr>
        <w:annotationRef/>
      </w:r>
      <w:r>
        <w:t xml:space="preserve">Could you also clarify that any rejected bids will also mean that the resource will not meet its must offer obligation? </w:t>
      </w:r>
    </w:p>
    <w:p w14:paraId="1AC522AA" w14:textId="77777777" w:rsidR="00DB30C7" w:rsidRDefault="00DB30C7">
      <w:pPr>
        <w:pStyle w:val="CommentText"/>
      </w:pPr>
    </w:p>
    <w:p w14:paraId="63E5959F" w14:textId="7B7FD9CC" w:rsidR="00DB30C7" w:rsidRDefault="00DB30C7">
      <w:pPr>
        <w:pStyle w:val="CommentText"/>
      </w:pPr>
      <w:r>
        <w:t xml:space="preserve">Suggested language to include, “Any rejected bid during the resource’s must offer obligation window will not be considered as meeting the must offer obligation.” </w:t>
      </w:r>
    </w:p>
  </w:comment>
  <w:comment w:id="658" w:author="Sok, Pia" w:date="2019-08-14T16:42:00Z" w:initials="SP">
    <w:p w14:paraId="2335A1FC" w14:textId="74B7097E" w:rsidR="00DB30C7" w:rsidRDefault="00DB30C7">
      <w:pPr>
        <w:pStyle w:val="CommentText"/>
      </w:pPr>
      <w:r>
        <w:rPr>
          <w:rStyle w:val="CommentReference"/>
        </w:rPr>
        <w:annotationRef/>
      </w:r>
    </w:p>
    <w:p w14:paraId="32A5C76D" w14:textId="11713D7F" w:rsidR="00DB30C7" w:rsidRDefault="00DB30C7">
      <w:pPr>
        <w:pStyle w:val="CommentText"/>
      </w:pPr>
    </w:p>
    <w:p w14:paraId="68DEBAF8" w14:textId="77777777" w:rsidR="00DB30C7" w:rsidRPr="00750153" w:rsidRDefault="00DB30C7" w:rsidP="00750153">
      <w:pPr>
        <w:pStyle w:val="CommentText"/>
      </w:pPr>
      <w:r w:rsidRPr="00750153">
        <w:t>In the event an energy bid is rejected due to this rule (price below the NBT), the SC has two options:</w:t>
      </w:r>
    </w:p>
    <w:p w14:paraId="43B79F26" w14:textId="7752FF38" w:rsidR="00DB30C7" w:rsidRPr="00750153" w:rsidRDefault="00DB30C7" w:rsidP="00750153">
      <w:pPr>
        <w:pStyle w:val="CommentText"/>
        <w:numPr>
          <w:ilvl w:val="0"/>
          <w:numId w:val="65"/>
        </w:numPr>
      </w:pPr>
      <w:r>
        <w:t xml:space="preserve"> </w:t>
      </w:r>
      <w:r w:rsidRPr="00750153">
        <w:t>Do nothing, in which case the resource has no bid in the market</w:t>
      </w:r>
    </w:p>
    <w:p w14:paraId="76615396" w14:textId="1E768C62" w:rsidR="00DB30C7" w:rsidRDefault="00DB30C7"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DB30C7" w:rsidRDefault="00DB30C7">
      <w:pPr>
        <w:pStyle w:val="CommentText"/>
      </w:pPr>
    </w:p>
    <w:p w14:paraId="496D9CA0" w14:textId="60818A7E" w:rsidR="00DB30C7" w:rsidRDefault="00DB30C7"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DB30C7" w:rsidRDefault="00DB30C7">
      <w:pPr>
        <w:pStyle w:val="CommentText"/>
      </w:pPr>
    </w:p>
  </w:comment>
  <w:comment w:id="664" w:author="Gilbert, Anja" w:date="2019-08-13T09:02:00Z" w:initials="GA">
    <w:p w14:paraId="12BF1BEF" w14:textId="17471370" w:rsidR="00DB30C7" w:rsidRDefault="00DB30C7">
      <w:pPr>
        <w:pStyle w:val="CommentText"/>
      </w:pPr>
      <w:r>
        <w:rPr>
          <w:rStyle w:val="CommentReference"/>
        </w:rPr>
        <w:annotationRef/>
      </w:r>
      <w:r>
        <w:t xml:space="preserve">Should this read DLA or DLAP? </w:t>
      </w:r>
    </w:p>
  </w:comment>
  <w:comment w:id="665" w:author="Sok, Pia" w:date="2019-08-20T07:56:00Z" w:initials="SP">
    <w:p w14:paraId="6A2AB085" w14:textId="7E26C7FF" w:rsidR="00DB30C7" w:rsidRDefault="00DB30C7">
      <w:pPr>
        <w:pStyle w:val="CommentText"/>
      </w:pPr>
      <w:r>
        <w:rPr>
          <w:rStyle w:val="CommentReference"/>
        </w:rPr>
        <w:annotationRef/>
      </w:r>
      <w:r>
        <w:t>Removed</w:t>
      </w:r>
    </w:p>
  </w:comment>
  <w:comment w:id="681" w:author="Gilbert, Anja" w:date="2019-08-13T08:51:00Z" w:initials="GA">
    <w:p w14:paraId="25AD4A92" w14:textId="2FE33D20" w:rsidR="00DB30C7" w:rsidRDefault="00DB30C7">
      <w:pPr>
        <w:pStyle w:val="CommentText"/>
      </w:pPr>
      <w:r>
        <w:rPr>
          <w:rStyle w:val="CommentReference"/>
        </w:rPr>
        <w:annotationRef/>
      </w:r>
      <w:r>
        <w:t xml:space="preserve">This acronym is not defined.  </w:t>
      </w:r>
    </w:p>
  </w:comment>
  <w:comment w:id="682" w:author="Sok, Pia" w:date="2019-08-20T07:57:00Z" w:initials="SP">
    <w:p w14:paraId="2F8D8093" w14:textId="0E7D9ED8" w:rsidR="00DB30C7" w:rsidRDefault="00DB30C7">
      <w:pPr>
        <w:pStyle w:val="CommentText"/>
      </w:pPr>
      <w:r>
        <w:rPr>
          <w:rStyle w:val="CommentReference"/>
        </w:rPr>
        <w:annotationRef/>
      </w:r>
      <w: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B551FE" w15:done="0"/>
  <w15:commentEx w15:paraId="01F086DC" w15:paraIdParent="08B551FE" w15:done="0"/>
  <w15:commentEx w15:paraId="2592A79B" w15:done="0"/>
  <w15:commentEx w15:paraId="775F33EC" w15:done="0"/>
  <w15:commentEx w15:paraId="30766471" w15:done="0"/>
  <w15:commentEx w15:paraId="5238D723" w15:paraIdParent="30766471" w15:done="0"/>
  <w15:commentEx w15:paraId="48F807FC" w15:done="0"/>
  <w15:commentEx w15:paraId="340C53E0" w15:paraIdParent="48F807FC" w15:done="0"/>
  <w15:commentEx w15:paraId="7FE08E41" w15:done="0"/>
  <w15:commentEx w15:paraId="655D0660" w15:paraIdParent="7FE08E41" w15:done="0"/>
  <w15:commentEx w15:paraId="3627EEA4" w15:done="0"/>
  <w15:commentEx w15:paraId="141CCCE2" w15:paraIdParent="3627EEA4" w15:done="0"/>
  <w15:commentEx w15:paraId="23067A0B" w15:done="0"/>
  <w15:commentEx w15:paraId="5D04C9C4" w15:paraIdParent="23067A0B" w15:done="0"/>
  <w15:commentEx w15:paraId="34FACF90" w15:done="0"/>
  <w15:commentEx w15:paraId="5375087B" w15:paraIdParent="34FACF90" w15:done="0"/>
  <w15:commentEx w15:paraId="6BF13EF4" w15:done="0"/>
  <w15:commentEx w15:paraId="33F23045" w15:paraIdParent="6BF13EF4" w15:done="0"/>
  <w15:commentEx w15:paraId="1994A808" w15:done="0"/>
  <w15:commentEx w15:paraId="62D588E8" w15:done="0"/>
  <w15:commentEx w15:paraId="77118A07" w15:paraIdParent="62D588E8" w15:done="0"/>
  <w15:commentEx w15:paraId="0F69D660" w15:done="0"/>
  <w15:commentEx w15:paraId="2A08B9CB" w15:done="0"/>
  <w15:commentEx w15:paraId="62548D67" w15:paraIdParent="2A08B9CB" w15:done="0"/>
  <w15:commentEx w15:paraId="21091546" w15:done="0"/>
  <w15:commentEx w15:paraId="6EFA5C6A" w15:paraIdParent="21091546" w15:done="0"/>
  <w15:commentEx w15:paraId="68E66FE4" w15:paraIdParent="21091546" w15:done="0"/>
  <w15:commentEx w15:paraId="7481D101" w15:done="0"/>
  <w15:commentEx w15:paraId="42BA33BF" w15:paraIdParent="7481D101" w15:done="0"/>
  <w15:commentEx w15:paraId="333C0482" w15:done="0"/>
  <w15:commentEx w15:paraId="2221E25C" w15:paraIdParent="333C0482" w15:done="0"/>
  <w15:commentEx w15:paraId="686A02FA" w15:done="0"/>
  <w15:commentEx w15:paraId="42E7C9D6" w15:paraIdParent="686A02FA" w15:done="0"/>
  <w15:commentEx w15:paraId="0963A803" w15:done="0"/>
  <w15:commentEx w15:paraId="00E089F9" w15:paraIdParent="0963A803" w15:done="0"/>
  <w15:commentEx w15:paraId="2085AD7F" w15:done="0"/>
  <w15:commentEx w15:paraId="5561C1D5" w15:paraIdParent="2085AD7F" w15:done="0"/>
  <w15:commentEx w15:paraId="435D9271" w15:done="0"/>
  <w15:commentEx w15:paraId="72C04053" w15:paraIdParent="435D9271" w15:done="0"/>
  <w15:commentEx w15:paraId="6C19208D" w15:done="0"/>
  <w15:commentEx w15:paraId="59AB9D4D" w15:paraIdParent="6C19208D" w15:done="0"/>
  <w15:commentEx w15:paraId="12909D14" w15:done="0"/>
  <w15:commentEx w15:paraId="1857ADA6" w15:paraIdParent="12909D14" w15:done="0"/>
  <w15:commentEx w15:paraId="49D535B5" w15:done="0"/>
  <w15:commentEx w15:paraId="3FA63B80" w15:paraIdParent="49D535B5" w15:done="0"/>
  <w15:commentEx w15:paraId="79A21A93" w15:done="0"/>
  <w15:commentEx w15:paraId="3CE46932" w15:paraIdParent="79A21A93" w15:done="0"/>
  <w15:commentEx w15:paraId="267F08FB" w15:done="0"/>
  <w15:commentEx w15:paraId="41F6D583" w15:paraIdParent="267F08FB" w15:done="0"/>
  <w15:commentEx w15:paraId="53EF61CE" w15:done="0"/>
  <w15:commentEx w15:paraId="6F5F8377" w15:done="0"/>
  <w15:commentEx w15:paraId="08C0ED24" w15:paraIdParent="6F5F8377" w15:done="0"/>
  <w15:commentEx w15:paraId="1CDA3D28" w15:done="0"/>
  <w15:commentEx w15:paraId="12F22E39" w15:paraIdParent="1CDA3D28" w15:done="0"/>
  <w15:commentEx w15:paraId="63E5959F" w15:done="0"/>
  <w15:commentEx w15:paraId="7615A8D3" w15:paraIdParent="63E5959F" w15:done="0"/>
  <w15:commentEx w15:paraId="12BF1BEF" w15:done="0"/>
  <w15:commentEx w15:paraId="6A2AB085" w15:paraIdParent="12BF1BEF" w15:done="0"/>
  <w15:commentEx w15:paraId="25AD4A92" w15:done="0"/>
  <w15:commentEx w15:paraId="2F8D8093" w15:paraIdParent="25AD4A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2592A79B" w16cid:durableId="20FCF3E5"/>
  <w16cid:commentId w16cid:paraId="30766471" w16cid:durableId="20F50F0F"/>
  <w16cid:commentId w16cid:paraId="48F807FC" w16cid:durableId="20F51055"/>
  <w16cid:commentId w16cid:paraId="7FE08E41" w16cid:durableId="20FCF655"/>
  <w16cid:commentId w16cid:paraId="3627EEA4" w16cid:durableId="20F511C8"/>
  <w16cid:commentId w16cid:paraId="23067A0B" w16cid:durableId="20FCF54B"/>
  <w16cid:commentId w16cid:paraId="34FACF90" w16cid:durableId="20F5155A"/>
  <w16cid:commentId w16cid:paraId="6BF13EF4" w16cid:durableId="20F5162C"/>
  <w16cid:commentId w16cid:paraId="62D588E8" w16cid:durableId="20FCF41A"/>
  <w16cid:commentId w16cid:paraId="0F69D660" w16cid:durableId="20FCF424"/>
  <w16cid:commentId w16cid:paraId="2A08B9CB" w16cid:durableId="20FCF42B"/>
  <w16cid:commentId w16cid:paraId="21091546" w16cid:durableId="20F518F3"/>
  <w16cid:commentId w16cid:paraId="6EFA5C6A" w16cid:durableId="20FC0293"/>
  <w16cid:commentId w16cid:paraId="7481D101" w16cid:durableId="20F519A2"/>
  <w16cid:commentId w16cid:paraId="333C0482" w16cid:durableId="20F51A17"/>
  <w16cid:commentId w16cid:paraId="686A02FA" w16cid:durableId="20FCF43C"/>
  <w16cid:commentId w16cid:paraId="0963A803" w16cid:durableId="20FCF447"/>
  <w16cid:commentId w16cid:paraId="2085AD7F" w16cid:durableId="20F51C91"/>
  <w16cid:commentId w16cid:paraId="435D9271" w16cid:durableId="20F51ED7"/>
  <w16cid:commentId w16cid:paraId="12909D14" w16cid:durableId="20FCF47A"/>
  <w16cid:commentId w16cid:paraId="49D535B5" w16cid:durableId="20FCFEE9"/>
  <w16cid:commentId w16cid:paraId="79A21A93" w16cid:durableId="20FD67A6"/>
  <w16cid:commentId w16cid:paraId="267F08FB" w16cid:durableId="20FD681B"/>
  <w16cid:commentId w16cid:paraId="6F5F8377" w16cid:durableId="20FC034B"/>
  <w16cid:commentId w16cid:paraId="1CDA3D28" w16cid:durableId="20FCF7C3"/>
  <w16cid:commentId w16cid:paraId="63E5959F" w16cid:durableId="20FCF6D7"/>
  <w16cid:commentId w16cid:paraId="12BF1BEF" w16cid:durableId="20FCFB29"/>
  <w16cid:commentId w16cid:paraId="25AD4A92" w16cid:durableId="20FCF8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7D56" w14:textId="77777777" w:rsidR="00DB30C7" w:rsidRDefault="00DB30C7">
      <w:r>
        <w:separator/>
      </w:r>
    </w:p>
  </w:endnote>
  <w:endnote w:type="continuationSeparator" w:id="0">
    <w:p w14:paraId="67184F3E" w14:textId="77777777" w:rsidR="00DB30C7" w:rsidRDefault="00D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5641"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DB30C7" w:rsidRDefault="00DB3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8A0D" w14:textId="77777777" w:rsidR="00DB30C7" w:rsidRDefault="00DB30C7">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E800" w14:textId="065B1C58" w:rsidR="00DB30C7" w:rsidRDefault="00DB30C7">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511B"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FA87" w14:textId="26033FEE" w:rsidR="00DB30C7" w:rsidRDefault="00DB30C7"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A018E8">
      <w:rPr>
        <w:rStyle w:val="PageNumber"/>
        <w:i w:val="0"/>
        <w:iCs/>
        <w:noProof/>
        <w:sz w:val="16"/>
      </w:rPr>
      <w:t>iii</w:t>
    </w:r>
    <w:r>
      <w:rPr>
        <w:rStyle w:val="PageNumber"/>
        <w:i w:val="0"/>
        <w:iCs/>
        <w:sz w:val="16"/>
      </w:rPr>
      <w:fldChar w:fldCharType="end"/>
    </w:r>
  </w:p>
  <w:p w14:paraId="6BA10440" w14:textId="77777777" w:rsidR="00DB30C7" w:rsidRDefault="00DB30C7">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B368" w14:textId="62955ECC" w:rsidR="00DB30C7" w:rsidRDefault="00DB30C7">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sidR="00A018E8">
      <w:rPr>
        <w:rStyle w:val="PageNumber"/>
        <w:i w:val="0"/>
        <w:iCs/>
        <w:noProof/>
        <w:sz w:val="16"/>
      </w:rPr>
      <w:t>26</w:t>
    </w:r>
    <w:r>
      <w:rPr>
        <w:rStyle w:val="PageNumber"/>
        <w:i w:val="0"/>
        <w:iCs/>
        <w:sz w:val="16"/>
      </w:rPr>
      <w:fldChar w:fldCharType="end"/>
    </w:r>
  </w:p>
  <w:p w14:paraId="041C6744" w14:textId="77777777" w:rsidR="00DB30C7" w:rsidRDefault="00DB30C7">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DB30C7" w:rsidRDefault="00DB30C7">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466A9" w14:textId="77777777" w:rsidR="00DB30C7" w:rsidRDefault="00DB30C7">
      <w:r>
        <w:separator/>
      </w:r>
    </w:p>
  </w:footnote>
  <w:footnote w:type="continuationSeparator" w:id="0">
    <w:p w14:paraId="12E183F6" w14:textId="77777777" w:rsidR="00DB30C7" w:rsidRDefault="00DB30C7">
      <w:r>
        <w:continuationSeparator/>
      </w:r>
    </w:p>
  </w:footnote>
  <w:footnote w:id="1">
    <w:p w14:paraId="5687CAB9" w14:textId="77777777" w:rsidR="00DB30C7" w:rsidDel="00600982" w:rsidRDefault="00DB30C7">
      <w:pPr>
        <w:pStyle w:val="FootnoteText"/>
        <w:rPr>
          <w:del w:id="260" w:author="Sok, Pia" w:date="2019-08-15T14:21:00Z"/>
        </w:rPr>
      </w:pPr>
      <w:del w:id="261"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DB30C7" w:rsidDel="00600982" w:rsidRDefault="00DB30C7">
      <w:pPr>
        <w:pStyle w:val="FootnoteText"/>
        <w:rPr>
          <w:del w:id="262" w:author="Sok, Pia" w:date="2019-08-15T14:21:00Z"/>
        </w:rPr>
      </w:pPr>
    </w:p>
  </w:footnote>
  <w:footnote w:id="2">
    <w:p w14:paraId="6768C77E" w14:textId="77777777" w:rsidR="00DB30C7" w:rsidRDefault="00DB30C7"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DB30C7" w:rsidRDefault="00DB30C7" w:rsidP="00C2548F">
      <w:pPr>
        <w:pStyle w:val="FootnoteText"/>
        <w:spacing w:after="120"/>
      </w:pPr>
      <w:r>
        <w:rPr>
          <w:rStyle w:val="FootnoteReference"/>
        </w:rPr>
        <w:footnoteRef/>
      </w:r>
      <w:r>
        <w:t xml:space="preserve"> G</w:t>
      </w:r>
      <w:r w:rsidRPr="000064CF">
        <w:rPr>
          <w:vertAlign w:val="subscript"/>
        </w:rPr>
        <w:t>Load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DB30C7" w:rsidRDefault="00DB30C7"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DB30C7" w:rsidRDefault="00DB30C7"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DB30C7" w:rsidRDefault="00DB30C7" w:rsidP="00C2548F">
      <w:pPr>
        <w:pStyle w:val="FootnoteText"/>
      </w:pPr>
      <w:r>
        <w:rPr>
          <w:rStyle w:val="FootnoteReference"/>
        </w:rPr>
        <w:footnoteRef/>
      </w:r>
      <w:r>
        <w:t xml:space="preserve"> Generally referred to as the combined CLB and MGO Methodology.</w:t>
      </w:r>
    </w:p>
  </w:footnote>
  <w:footnote w:id="7">
    <w:p w14:paraId="40B95287" w14:textId="77777777" w:rsidR="00DB30C7" w:rsidRDefault="00DB30C7"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DB30C7" w:rsidRDefault="00DB30C7"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DB30C7" w:rsidRDefault="00DB30C7"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DB30C7" w:rsidRDefault="00DB30C7"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DB30C7" w:rsidRDefault="00DB30C7" w:rsidP="001363D0">
      <w:pPr>
        <w:pStyle w:val="FootnoteText"/>
      </w:pPr>
    </w:p>
  </w:footnote>
  <w:footnote w:id="11">
    <w:p w14:paraId="6C538932" w14:textId="77777777" w:rsidR="00DB30C7" w:rsidRDefault="00DB30C7">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DB30C7" w:rsidRDefault="00DB30C7" w:rsidP="00920A12">
      <w:pPr>
        <w:pStyle w:val="CommentText"/>
      </w:pPr>
      <w:r>
        <w:rPr>
          <w:rStyle w:val="FootnoteReference"/>
        </w:rPr>
        <w:footnoteRef/>
      </w:r>
      <w:r>
        <w:t xml:space="preserve"> Expected Energy report is used by all PDRs, irrespective of selecting the 60 minute or 15 minute bid dispatchable options.</w:t>
      </w:r>
    </w:p>
    <w:p w14:paraId="698F866A" w14:textId="77777777" w:rsidR="00DB30C7" w:rsidRDefault="00DB30C7" w:rsidP="0028415A">
      <w:pPr>
        <w:pStyle w:val="FootnoteText"/>
        <w:ind w:left="0" w:firstLine="0"/>
      </w:pPr>
    </w:p>
  </w:footnote>
  <w:footnote w:id="13">
    <w:p w14:paraId="42246EC5" w14:textId="77777777" w:rsidR="00DB30C7" w:rsidRDefault="00DB30C7"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DB30C7" w:rsidRDefault="00DB30C7"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DB30C7" w:rsidRDefault="00DB30C7"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DB30C7" w:rsidRDefault="00DB30C7"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D310D" w14:textId="15D7642A" w:rsidR="00DB30C7" w:rsidRDefault="00DB30C7">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131E" w14:textId="1B198D52" w:rsidR="00DB30C7" w:rsidRDefault="00DB30C7">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844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DB30C7" w:rsidRDefault="00DB30C7">
    <w:pPr>
      <w:pStyle w:val="Header"/>
    </w:pPr>
  </w:p>
  <w:p w14:paraId="57DD80AA" w14:textId="77777777" w:rsidR="00DB30C7" w:rsidRDefault="00DB30C7">
    <w:pPr>
      <w:pStyle w:val="TOCTitle"/>
    </w:pPr>
    <w:r>
      <w:t>Table of Contents</w:t>
    </w:r>
  </w:p>
  <w:p w14:paraId="679DCE93" w14:textId="69C5D087" w:rsidR="00DB30C7" w:rsidRDefault="00DB30C7">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8342"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DB30C7" w:rsidRDefault="00DB3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B2EA" w14:textId="77777777" w:rsidR="00DB30C7" w:rsidRDefault="00DB30C7" w:rsidP="003C3B06">
    <w:pPr>
      <w:pStyle w:val="Header"/>
      <w:rPr>
        <w:b w:val="0"/>
        <w:bCs/>
        <w:sz w:val="16"/>
      </w:rPr>
    </w:pPr>
  </w:p>
  <w:p w14:paraId="2A37B7D7" w14:textId="77777777" w:rsidR="00DB30C7" w:rsidRDefault="00DB30C7"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DB30C7" w:rsidRDefault="00DB30C7">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328C"/>
    <w:rsid w:val="000F3FEA"/>
    <w:rsid w:val="000F4DE9"/>
    <w:rsid w:val="000F5DB7"/>
    <w:rsid w:val="000F5DCA"/>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61F9"/>
    <w:rsid w:val="00227D12"/>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D9A"/>
    <w:rsid w:val="00453419"/>
    <w:rsid w:val="00453DBE"/>
    <w:rsid w:val="00454975"/>
    <w:rsid w:val="00455157"/>
    <w:rsid w:val="004556D5"/>
    <w:rsid w:val="00455C62"/>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402F"/>
    <w:rsid w:val="00474B15"/>
    <w:rsid w:val="00476163"/>
    <w:rsid w:val="004766A2"/>
    <w:rsid w:val="004801EC"/>
    <w:rsid w:val="00481485"/>
    <w:rsid w:val="00483074"/>
    <w:rsid w:val="004848E7"/>
    <w:rsid w:val="00484A1D"/>
    <w:rsid w:val="00485DEC"/>
    <w:rsid w:val="0048661E"/>
    <w:rsid w:val="004902A7"/>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1A"/>
    <w:rsid w:val="0069164E"/>
    <w:rsid w:val="00693975"/>
    <w:rsid w:val="006940C1"/>
    <w:rsid w:val="0069488A"/>
    <w:rsid w:val="00694921"/>
    <w:rsid w:val="006953E5"/>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153"/>
    <w:rsid w:val="00750AA4"/>
    <w:rsid w:val="00751850"/>
    <w:rsid w:val="00751F41"/>
    <w:rsid w:val="007524D9"/>
    <w:rsid w:val="00753DAA"/>
    <w:rsid w:val="00754A08"/>
    <w:rsid w:val="00755BFB"/>
    <w:rsid w:val="00755CA7"/>
    <w:rsid w:val="00755E3F"/>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04B"/>
    <w:rsid w:val="00793955"/>
    <w:rsid w:val="007939C7"/>
    <w:rsid w:val="00794359"/>
    <w:rsid w:val="00794475"/>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92F"/>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587B"/>
    <w:rsid w:val="00A85D08"/>
    <w:rsid w:val="00A860B7"/>
    <w:rsid w:val="00A86E6C"/>
    <w:rsid w:val="00A878EB"/>
    <w:rsid w:val="00A879A1"/>
    <w:rsid w:val="00A917B4"/>
    <w:rsid w:val="00A91EA1"/>
    <w:rsid w:val="00A92765"/>
    <w:rsid w:val="00A92E03"/>
    <w:rsid w:val="00A9482E"/>
    <w:rsid w:val="00A94854"/>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F96"/>
    <w:rsid w:val="00B528A3"/>
    <w:rsid w:val="00B52D50"/>
    <w:rsid w:val="00B545EB"/>
    <w:rsid w:val="00B551C8"/>
    <w:rsid w:val="00B569CD"/>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E58"/>
    <w:rsid w:val="00BD59CE"/>
    <w:rsid w:val="00BD72DA"/>
    <w:rsid w:val="00BD7766"/>
    <w:rsid w:val="00BD7D66"/>
    <w:rsid w:val="00BD7E9C"/>
    <w:rsid w:val="00BE09C0"/>
    <w:rsid w:val="00BE278B"/>
    <w:rsid w:val="00BE47C8"/>
    <w:rsid w:val="00BE5E27"/>
    <w:rsid w:val="00BE64FD"/>
    <w:rsid w:val="00BE6894"/>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502E"/>
    <w:rsid w:val="00CA5403"/>
    <w:rsid w:val="00CA659F"/>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34F0"/>
    <w:rsid w:val="00EE35AE"/>
    <w:rsid w:val="00EE49EA"/>
    <w:rsid w:val="00EE52D9"/>
    <w:rsid w:val="00EE54E5"/>
    <w:rsid w:val="00EE6A57"/>
    <w:rsid w:val="00EE7420"/>
    <w:rsid w:val="00EE7F34"/>
    <w:rsid w:val="00EF0BDF"/>
    <w:rsid w:val="00EF10BD"/>
    <w:rsid w:val="00EF41F3"/>
    <w:rsid w:val="00EF4A59"/>
    <w:rsid w:val="00EF507B"/>
    <w:rsid w:val="00EF6117"/>
    <w:rsid w:val="00EF6681"/>
    <w:rsid w:val="00EF7377"/>
    <w:rsid w:val="00EF7CBF"/>
    <w:rsid w:val="00F00293"/>
    <w:rsid w:val="00F01682"/>
    <w:rsid w:val="00F01AD0"/>
    <w:rsid w:val="00F02000"/>
    <w:rsid w:val="00F028D0"/>
    <w:rsid w:val="00F02C09"/>
    <w:rsid w:val="00F0363A"/>
    <w:rsid w:val="00F06E99"/>
    <w:rsid w:val="00F10523"/>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BD9"/>
    <w:rsid w:val="00F20CC0"/>
    <w:rsid w:val="00F213EF"/>
    <w:rsid w:val="00F22D48"/>
    <w:rsid w:val="00F231CB"/>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7CF"/>
    <w:rsid w:val="00F62A42"/>
    <w:rsid w:val="00F6384E"/>
    <w:rsid w:val="00F6468A"/>
    <w:rsid w:val="00F65053"/>
    <w:rsid w:val="00F65BA8"/>
    <w:rsid w:val="00F66ADE"/>
    <w:rsid w:val="00F67079"/>
    <w:rsid w:val="00F67396"/>
    <w:rsid w:val="00F676FB"/>
    <w:rsid w:val="00F67BFD"/>
    <w:rsid w:val="00F703D4"/>
    <w:rsid w:val="00F7161A"/>
    <w:rsid w:val="00F71AF4"/>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Layout" Target="diagrams/layout1.xm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bpmcm.caiso.com/Pages/BPMLibrary.aspx" TargetMode="External"/><Relationship Id="rId34" Type="http://schemas.openxmlformats.org/officeDocument/2006/relationships/hyperlink" Target="http://www.caiso.com/participate/Pages/Load/Default.aspx" TargetMode="External"/><Relationship Id="rId42" Type="http://schemas.openxmlformats.org/officeDocument/2006/relationships/image" Target="media/image8.emf"/><Relationship Id="rId47" Type="http://schemas.openxmlformats.org/officeDocument/2006/relationships/hyperlink" Target="http://www.caiso.com" TargetMode="Externa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diagramData" Target="diagrams/data1.xml"/><Relationship Id="rId33" Type="http://schemas.openxmlformats.org/officeDocument/2006/relationships/hyperlink" Target="mailto:pdr@caiso.com" TargetMode="External"/><Relationship Id="rId38" Type="http://schemas.openxmlformats.org/officeDocument/2006/relationships/hyperlink" Target="mailto:PDR@caiso.com" TargetMode="External"/><Relationship Id="rId46" Type="http://schemas.openxmlformats.org/officeDocument/2006/relationships/hyperlink" Target="http://www.caiso.com/participate/Pages/Load/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07/relationships/diagramDrawing" Target="diagrams/drawing1.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4.emf"/><Relationship Id="rId37" Type="http://schemas.openxmlformats.org/officeDocument/2006/relationships/hyperlink" Target="mailto:PDR@caiso.com" TargetMode="External"/><Relationship Id="rId40" Type="http://schemas.openxmlformats.org/officeDocument/2006/relationships/image" Target="media/image6.png"/><Relationship Id="rId45" Type="http://schemas.openxmlformats.org/officeDocument/2006/relationships/hyperlink" Target="http://www.caiso.com/planning/Pages/ReliabilityRequirements/Default.aspx" TargetMode="Externa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DR@caiso.com" TargetMode="External"/><Relationship Id="rId28" Type="http://schemas.openxmlformats.org/officeDocument/2006/relationships/diagramColors" Target="diagrams/colors1.xml"/><Relationship Id="rId36" Type="http://schemas.openxmlformats.org/officeDocument/2006/relationships/hyperlink" Target="http://www.caiso.com/participate/Pages/Load/Default.aspx" TargetMode="External"/><Relationship Id="rId49"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caiso.com" TargetMode="External"/><Relationship Id="rId44" Type="http://schemas.openxmlformats.org/officeDocument/2006/relationships/hyperlink" Target="mailto:RDT@caiso.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diagramQuickStyle" Target="diagrams/quickStyle1.xml"/><Relationship Id="rId30" Type="http://schemas.openxmlformats.org/officeDocument/2006/relationships/hyperlink" Target="mailto:regulatorycontracts@caiso.com" TargetMode="External"/><Relationship Id="rId35" Type="http://schemas.openxmlformats.org/officeDocument/2006/relationships/hyperlink" Target="mailto:pdr@caiso.com" TargetMode="External"/><Relationship Id="rId43" Type="http://schemas.openxmlformats.org/officeDocument/2006/relationships/hyperlink" Target="mailto:RDT@caiso.com" TargetMode="External"/><Relationship Id="rId48" Type="http://schemas.openxmlformats.org/officeDocument/2006/relationships/image" Target="media/image9.png"/><Relationship Id="rId8" Type="http://schemas.openxmlformats.org/officeDocument/2006/relationships/settings" Target="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t>
        <a:bodyPr/>
        <a:lstStyle/>
        <a:p>
          <a:endParaRPr lang="en-US"/>
        </a:p>
      </dgm:t>
    </dgm:pt>
    <dgm:pt modelId="{F5C24C9E-C238-42C9-8F38-7258FB832DC3}" type="pres">
      <dgm:prSet presAssocID="{92FB6AB3-6D7A-4791-BE43-6F2EC6F88C6E}" presName="sibTrans" presStyleLbl="sibTrans2D1" presStyleIdx="0" presStyleCnt="6"/>
      <dgm:spPr/>
      <dgm:t>
        <a:bodyPr/>
        <a:lstStyle/>
        <a:p>
          <a:endParaRPr lang="en-US"/>
        </a:p>
      </dgm:t>
    </dgm:pt>
    <dgm:pt modelId="{39846E34-012D-4D69-8F58-8DBDF58F4246}" type="pres">
      <dgm:prSet presAssocID="{92FB6AB3-6D7A-4791-BE43-6F2EC6F88C6E}" presName="connectorText" presStyleLbl="sibTrans2D1" presStyleIdx="0" presStyleCnt="6"/>
      <dgm:spPr/>
      <dgm:t>
        <a:bodyPr/>
        <a:lstStyle/>
        <a:p>
          <a:endParaRPr lang="en-US"/>
        </a:p>
      </dgm:t>
    </dgm:pt>
    <dgm:pt modelId="{A6721CC5-78CE-410F-8674-2D525EE8E4F9}" type="pres">
      <dgm:prSet presAssocID="{7F1ADC8D-5E89-4E96-90EB-4F5A3480397A}" presName="node" presStyleLbl="node1" presStyleIdx="1" presStyleCnt="7">
        <dgm:presLayoutVars>
          <dgm:bulletEnabled val="1"/>
        </dgm:presLayoutVars>
      </dgm:prSet>
      <dgm:spPr/>
      <dgm:t>
        <a:bodyPr/>
        <a:lstStyle/>
        <a:p>
          <a:endParaRPr lang="en-US"/>
        </a:p>
      </dgm:t>
    </dgm:pt>
    <dgm:pt modelId="{AD1A531A-B2D0-4639-9E0E-070B029F6424}" type="pres">
      <dgm:prSet presAssocID="{1B33D286-4C24-4487-88C3-1C60ABE369E8}" presName="sibTrans" presStyleLbl="sibTrans2D1" presStyleIdx="1" presStyleCnt="6"/>
      <dgm:spPr/>
      <dgm:t>
        <a:bodyPr/>
        <a:lstStyle/>
        <a:p>
          <a:endParaRPr lang="en-US"/>
        </a:p>
      </dgm:t>
    </dgm:pt>
    <dgm:pt modelId="{7E59A7F8-5CA6-4B2D-8057-1ECADDD0C485}" type="pres">
      <dgm:prSet presAssocID="{1B33D286-4C24-4487-88C3-1C60ABE369E8}" presName="connectorText" presStyleLbl="sibTrans2D1" presStyleIdx="1" presStyleCnt="6"/>
      <dgm:spPr/>
      <dgm:t>
        <a:bodyPr/>
        <a:lstStyle/>
        <a:p>
          <a:endParaRPr lang="en-US"/>
        </a:p>
      </dgm:t>
    </dgm:pt>
    <dgm:pt modelId="{E26CFE76-DE42-4876-809C-E8269AE328DC}" type="pres">
      <dgm:prSet presAssocID="{7E7B3A1A-08DB-462D-A0B6-E307B01BF84D}" presName="node" presStyleLbl="node1" presStyleIdx="2" presStyleCnt="7">
        <dgm:presLayoutVars>
          <dgm:bulletEnabled val="1"/>
        </dgm:presLayoutVars>
      </dgm:prSet>
      <dgm:spPr/>
      <dgm:t>
        <a:bodyPr/>
        <a:lstStyle/>
        <a:p>
          <a:endParaRPr lang="en-US"/>
        </a:p>
      </dgm:t>
    </dgm:pt>
    <dgm:pt modelId="{453CB42C-F9DD-414C-A329-29C713A3A2A4}" type="pres">
      <dgm:prSet presAssocID="{07DE1054-B6F0-40EB-AB5F-045D40D1FE3D}" presName="sibTrans" presStyleLbl="sibTrans2D1" presStyleIdx="2" presStyleCnt="6"/>
      <dgm:spPr/>
      <dgm:t>
        <a:bodyPr/>
        <a:lstStyle/>
        <a:p>
          <a:endParaRPr lang="en-US"/>
        </a:p>
      </dgm:t>
    </dgm:pt>
    <dgm:pt modelId="{7F2E5B62-1FB0-4646-876E-E5327AE39662}" type="pres">
      <dgm:prSet presAssocID="{07DE1054-B6F0-40EB-AB5F-045D40D1FE3D}" presName="connectorText" presStyleLbl="sibTrans2D1" presStyleIdx="2" presStyleCnt="6"/>
      <dgm:spPr/>
      <dgm:t>
        <a:bodyPr/>
        <a:lstStyle/>
        <a:p>
          <a:endParaRPr lang="en-US"/>
        </a:p>
      </dgm:t>
    </dgm:pt>
    <dgm:pt modelId="{6A3BC8C8-69A7-4D4F-89A9-13EFBB22ADA6}" type="pres">
      <dgm:prSet presAssocID="{BCA7CD20-F90F-4812-8310-75925930E6F7}" presName="node" presStyleLbl="node1" presStyleIdx="3" presStyleCnt="7">
        <dgm:presLayoutVars>
          <dgm:bulletEnabled val="1"/>
        </dgm:presLayoutVars>
      </dgm:prSet>
      <dgm:spPr/>
      <dgm:t>
        <a:bodyPr/>
        <a:lstStyle/>
        <a:p>
          <a:endParaRPr lang="en-US"/>
        </a:p>
      </dgm:t>
    </dgm:pt>
    <dgm:pt modelId="{0B530C56-04C3-4EBA-9EE0-6A8291E6DD7A}" type="pres">
      <dgm:prSet presAssocID="{6D709B3F-0175-4808-A939-43F04562CD4C}" presName="sibTrans" presStyleLbl="sibTrans2D1" presStyleIdx="3" presStyleCnt="6"/>
      <dgm:spPr/>
      <dgm:t>
        <a:bodyPr/>
        <a:lstStyle/>
        <a:p>
          <a:endParaRPr lang="en-US"/>
        </a:p>
      </dgm:t>
    </dgm:pt>
    <dgm:pt modelId="{B802CCD8-04C4-48B5-ACF2-46EBA5E6F4B2}" type="pres">
      <dgm:prSet presAssocID="{6D709B3F-0175-4808-A939-43F04562CD4C}" presName="connectorText" presStyleLbl="sibTrans2D1" presStyleIdx="3" presStyleCnt="6"/>
      <dgm:spPr/>
      <dgm:t>
        <a:bodyPr/>
        <a:lstStyle/>
        <a:p>
          <a:endParaRPr lang="en-US"/>
        </a:p>
      </dgm:t>
    </dgm:pt>
    <dgm:pt modelId="{5F20212D-BF78-42A7-8C26-F79D0946EB7F}" type="pres">
      <dgm:prSet presAssocID="{88B2EC61-1FD6-4BFC-8B66-D6754F340313}" presName="node" presStyleLbl="node1" presStyleIdx="4" presStyleCnt="7">
        <dgm:presLayoutVars>
          <dgm:bulletEnabled val="1"/>
        </dgm:presLayoutVars>
      </dgm:prSet>
      <dgm:spPr/>
      <dgm:t>
        <a:bodyPr/>
        <a:lstStyle/>
        <a:p>
          <a:endParaRPr lang="en-US"/>
        </a:p>
      </dgm:t>
    </dgm:pt>
    <dgm:pt modelId="{0558EFEF-1E72-4C13-AE16-1AE30057A9BF}" type="pres">
      <dgm:prSet presAssocID="{15A8D27D-FC85-4EAB-843A-DA20B9D0547B}" presName="sibTrans" presStyleLbl="sibTrans2D1" presStyleIdx="4" presStyleCnt="6"/>
      <dgm:spPr/>
      <dgm:t>
        <a:bodyPr/>
        <a:lstStyle/>
        <a:p>
          <a:endParaRPr lang="en-US"/>
        </a:p>
      </dgm:t>
    </dgm:pt>
    <dgm:pt modelId="{6130315A-1805-4A3B-AEAF-708EFA503E61}" type="pres">
      <dgm:prSet presAssocID="{15A8D27D-FC85-4EAB-843A-DA20B9D0547B}" presName="connectorText" presStyleLbl="sibTrans2D1" presStyleIdx="4" presStyleCnt="6"/>
      <dgm:spPr/>
      <dgm:t>
        <a:bodyPr/>
        <a:lstStyle/>
        <a:p>
          <a:endParaRPr lang="en-US"/>
        </a:p>
      </dgm:t>
    </dgm:pt>
    <dgm:pt modelId="{14EF9795-DEEF-45C4-A105-7F7E27D92AED}" type="pres">
      <dgm:prSet presAssocID="{4A087D69-182C-49BF-B608-A71C27C6C630}" presName="node" presStyleLbl="node1" presStyleIdx="5" presStyleCnt="7">
        <dgm:presLayoutVars>
          <dgm:bulletEnabled val="1"/>
        </dgm:presLayoutVars>
      </dgm:prSet>
      <dgm:spPr/>
      <dgm:t>
        <a:bodyPr/>
        <a:lstStyle/>
        <a:p>
          <a:endParaRPr lang="en-US"/>
        </a:p>
      </dgm:t>
    </dgm:pt>
    <dgm:pt modelId="{F27255BB-926C-4B88-BA76-F9AF4B4FB4C0}" type="pres">
      <dgm:prSet presAssocID="{85B76ED3-6F77-4E28-9188-107EC572E8A8}" presName="sibTrans" presStyleLbl="sibTrans2D1" presStyleIdx="5" presStyleCnt="6"/>
      <dgm:spPr/>
      <dgm:t>
        <a:bodyPr/>
        <a:lstStyle/>
        <a:p>
          <a:endParaRPr lang="en-US"/>
        </a:p>
      </dgm:t>
    </dgm:pt>
    <dgm:pt modelId="{F0A767D5-9D51-4731-ACD7-9568EA2EEB2B}" type="pres">
      <dgm:prSet presAssocID="{85B76ED3-6F77-4E28-9188-107EC572E8A8}" presName="connectorText" presStyleLbl="sibTrans2D1" presStyleIdx="5" presStyleCnt="6"/>
      <dgm:spPr/>
      <dgm:t>
        <a:bodyPr/>
        <a:lstStyle/>
        <a:p>
          <a:endParaRPr lang="en-US"/>
        </a:p>
      </dgm:t>
    </dgm:pt>
    <dgm:pt modelId="{804506A6-F7EE-430F-8CBE-67CA54807C65}" type="pres">
      <dgm:prSet presAssocID="{EE82F548-93A2-46AB-A64E-0BCD97D6F4FA}" presName="node" presStyleLbl="node1" presStyleIdx="6" presStyleCnt="7">
        <dgm:presLayoutVars>
          <dgm:bulletEnabled val="1"/>
        </dgm:presLayoutVars>
      </dgm:prSet>
      <dgm:spPr/>
      <dgm:t>
        <a:bodyPr/>
        <a:lstStyle/>
        <a:p>
          <a:endParaRPr lang="en-US"/>
        </a:p>
      </dgm:t>
    </dgm:pt>
  </dgm:ptLst>
  <dgm:cxnLst>
    <dgm:cxn modelId="{29187E68-D7D7-4232-8543-8B707C345FBA}" type="presOf" srcId="{6D709B3F-0175-4808-A939-43F04562CD4C}" destId="{0B530C56-04C3-4EBA-9EE0-6A8291E6DD7A}"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8AA39634-1AD4-4520-9C4F-113465124199}" type="presOf" srcId="{07DE1054-B6F0-40EB-AB5F-045D40D1FE3D}" destId="{453CB42C-F9DD-414C-A329-29C713A3A2A4}" srcOrd="0" destOrd="0" presId="urn:microsoft.com/office/officeart/2005/8/layout/process1"/>
    <dgm:cxn modelId="{ADBBD81B-4B5B-4FFD-AFBE-02551D9F4226}" type="presOf" srcId="{7E7B3A1A-08DB-462D-A0B6-E307B01BF84D}" destId="{E26CFE76-DE42-4876-809C-E8269AE328DC}" srcOrd="0" destOrd="0" presId="urn:microsoft.com/office/officeart/2005/8/layout/process1"/>
    <dgm:cxn modelId="{A6597715-E532-4B3B-9844-4B7C66876F00}" srcId="{46637BFE-4357-400A-AEAE-A2AF06273DCB}" destId="{08C63B40-784B-4CE1-B75D-CE91A1989CB9}" srcOrd="0" destOrd="0" parTransId="{082B6F9D-4F80-4563-8F82-E8AD04DCDC8E}" sibTransId="{92FB6AB3-6D7A-4791-BE43-6F2EC6F88C6E}"/>
    <dgm:cxn modelId="{9B7145D7-0302-436F-BFA4-2CA8A0DA6C83}" type="presOf" srcId="{85B76ED3-6F77-4E28-9188-107EC572E8A8}" destId="{F27255BB-926C-4B88-BA76-F9AF4B4FB4C0}"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6885E8FA-FC0B-474A-900A-6ED4F20E3B45}" srcId="{46637BFE-4357-400A-AEAE-A2AF06273DCB}" destId="{EE82F548-93A2-46AB-A64E-0BCD97D6F4FA}" srcOrd="6" destOrd="0" parTransId="{32BCA618-8ED1-4FFF-82A1-BDA2E3A97733}" sibTransId="{8BD7C62F-5889-419D-AC0E-9DCD8AAB172D}"/>
    <dgm:cxn modelId="{0746748B-384E-449C-B7B2-89983B97E823}" type="presOf" srcId="{BCA7CD20-F90F-4812-8310-75925930E6F7}" destId="{6A3BC8C8-69A7-4D4F-89A9-13EFBB22ADA6}"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22925FC-EEF8-435A-B901-1E9DF995EEA5}" type="presOf" srcId="{07DE1054-B6F0-40EB-AB5F-045D40D1FE3D}" destId="{7F2E5B62-1FB0-4646-876E-E5327AE39662}" srcOrd="1" destOrd="0" presId="urn:microsoft.com/office/officeart/2005/8/layout/process1"/>
    <dgm:cxn modelId="{B6413D4F-40D9-4990-A200-4A596C3C0D1E}" type="presOf" srcId="{15A8D27D-FC85-4EAB-843A-DA20B9D0547B}" destId="{6130315A-1805-4A3B-AEAF-708EFA503E61}" srcOrd="1"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315D7D62-5FBE-412B-B0A2-093AEB119B1D}" type="presOf" srcId="{1B33D286-4C24-4487-88C3-1C60ABE369E8}" destId="{7E59A7F8-5CA6-4B2D-8057-1ECADDD0C485}" srcOrd="1"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0699577E-88C2-443A-A05D-4420C3B1097F}" type="presOf" srcId="{EE82F548-93A2-46AB-A64E-0BCD97D6F4FA}" destId="{804506A6-F7EE-430F-8CBE-67CA54807C65}"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1F3896A-5AC1-4CDA-88C3-03CACEAE46FD}" srcId="{46637BFE-4357-400A-AEAE-A2AF06273DCB}" destId="{BCA7CD20-F90F-4812-8310-75925930E6F7}" srcOrd="3" destOrd="0" parTransId="{5112BDD0-9B3D-4C46-91FE-0E2179AF7608}" sibTransId="{6D709B3F-0175-4808-A939-43F04562CD4C}"/>
    <dgm:cxn modelId="{4F90FD9F-DF5E-4FD4-831B-7636A8A03476}" type="presOf" srcId="{08C63B40-784B-4CE1-B75D-CE91A1989CB9}" destId="{B66FAA2D-1AEB-413B-B720-76A622EF843E}"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6F55-7C75-4D3B-A89B-B814385A4ACD}">
  <ds:schemaRefs>
    <ds:schemaRef ds:uri="http://schemas.microsoft.com/office/2006/metadata/properties"/>
    <ds:schemaRef ds:uri="9cf53c15-5d1a-41a6-9bf1-e06f4f01938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fc21537-ee14-4b36-8a53-d05f9d40a084"/>
    <ds:schemaRef ds:uri="http://www.w3.org/XML/1998/namespace"/>
  </ds:schemaRefs>
</ds:datastoreItem>
</file>

<file path=customXml/itemProps2.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5.xml><?xml version="1.0" encoding="utf-8"?>
<ds:datastoreItem xmlns:ds="http://schemas.openxmlformats.org/officeDocument/2006/customXml" ds:itemID="{A3AE9CAC-7319-4AA2-B497-32722980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2248</TotalTime>
  <Pages>56</Pages>
  <Words>12257</Words>
  <Characters>73881</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85967</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Sok, Pia</cp:lastModifiedBy>
  <cp:revision>54</cp:revision>
  <cp:lastPrinted>2010-02-25T21:39:00Z</cp:lastPrinted>
  <dcterms:created xsi:type="dcterms:W3CDTF">2019-08-14T23:27:00Z</dcterms:created>
  <dcterms:modified xsi:type="dcterms:W3CDTF">2019-08-23T14:28:00Z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